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pPr>
      <w:r>
        <w:rPr>
          <w:smallCaps/>
          <w:sz w:val="24"/>
        </w:rPr>
        <w:t xml:space="preserve">Cognitive science and policy making: </w:t>
      </w:r>
    </w:p>
    <w:p>
      <w:pPr>
        <w:pStyle w:val="Normal"/>
        <w:jc w:val="left"/>
        <w:rPr/>
      </w:pPr>
      <w:r>
        <w:rPr>
          <w:smallCaps/>
          <w:sz w:val="24"/>
        </w:rPr>
        <w:t>considerations on the method and moral basis of nudging</w:t>
      </w:r>
    </w:p>
    <w:p>
      <w:pPr>
        <w:pStyle w:val="Normal"/>
        <w:jc w:val="left"/>
        <w:rPr>
          <w:sz w:val="24"/>
        </w:rPr>
      </w:pPr>
      <w:r>
        <w:rPr>
          <w:sz w:val="24"/>
        </w:rPr>
      </w:r>
    </w:p>
    <w:p>
      <w:pPr>
        <w:pStyle w:val="Normal"/>
        <w:jc w:val="left"/>
        <w:rPr>
          <w:sz w:val="24"/>
        </w:rPr>
      </w:pPr>
      <w:r>
        <w:rPr>
          <w:sz w:val="24"/>
        </w:rPr>
        <w:t>Christophe Heintz</w:t>
      </w:r>
    </w:p>
    <w:p>
      <w:pPr>
        <w:pStyle w:val="Normal"/>
        <w:jc w:val="left"/>
        <w:rPr>
          <w:sz w:val="24"/>
        </w:rPr>
      </w:pPr>
      <w:r>
        <w:rPr>
          <w:sz w:val="24"/>
        </w:rPr>
        <w:t>Department of Cognitive Science</w:t>
      </w:r>
    </w:p>
    <w:p>
      <w:pPr>
        <w:pStyle w:val="Normal"/>
        <w:jc w:val="left"/>
        <w:rPr>
          <w:sz w:val="24"/>
        </w:rPr>
      </w:pPr>
      <w:r>
        <w:rPr>
          <w:sz w:val="24"/>
        </w:rPr>
      </w:r>
    </w:p>
    <w:p>
      <w:pPr>
        <w:pStyle w:val="Normal"/>
        <w:jc w:val="left"/>
        <w:rPr/>
      </w:pPr>
      <w:r>
        <w:rPr>
          <w:sz w:val="24"/>
        </w:rPr>
        <w:t>Office Hours: by appointment: send an email.</w:t>
      </w:r>
    </w:p>
    <w:p>
      <w:pPr>
        <w:pStyle w:val="Normal"/>
        <w:jc w:val="left"/>
        <w:rPr>
          <w:sz w:val="24"/>
        </w:rPr>
      </w:pPr>
      <w:r>
        <w:rPr/>
      </w:r>
    </w:p>
    <w:p>
      <w:pPr>
        <w:pStyle w:val="Normal"/>
        <w:jc w:val="left"/>
        <w:rPr/>
      </w:pPr>
      <w:r>
        <w:rPr>
          <w:sz w:val="24"/>
        </w:rPr>
        <w:t xml:space="preserve">Elective Course, </w:t>
      </w:r>
      <w:r>
        <w:rPr>
          <w:sz w:val="24"/>
        </w:rPr>
        <w:t>2</w:t>
      </w:r>
      <w:r>
        <w:rPr>
          <w:sz w:val="24"/>
        </w:rPr>
        <w:t xml:space="preserve"> </w:t>
      </w:r>
      <w:r>
        <w:rPr>
          <w:sz w:val="24"/>
        </w:rPr>
        <w:t>c</w:t>
      </w:r>
      <w:r>
        <w:rPr>
          <w:sz w:val="24"/>
        </w:rPr>
        <w:t>redits</w:t>
      </w:r>
    </w:p>
    <w:p>
      <w:pPr>
        <w:pStyle w:val="Normal"/>
        <w:jc w:val="left"/>
        <w:rPr/>
      </w:pPr>
      <w:r>
        <w:rPr>
          <w:sz w:val="24"/>
        </w:rPr>
        <w:t>Fall</w:t>
      </w:r>
      <w:r>
        <w:rPr>
          <w:sz w:val="24"/>
        </w:rPr>
        <w:t xml:space="preserve"> 2016</w:t>
      </w:r>
    </w:p>
    <w:p>
      <w:pPr>
        <w:pStyle w:val="Normal"/>
        <w:jc w:val="left"/>
        <w:rPr>
          <w:sz w:val="24"/>
        </w:rPr>
      </w:pPr>
      <w:r>
        <w:rPr>
          <w:sz w:val="24"/>
        </w:rPr>
        <w:t xml:space="preserve">Thursdays,  11.00am-12.40pm, room 103, </w:t>
      </w:r>
      <w:r>
        <w:rPr>
          <w:rFonts w:eastAsia="Times New Roman" w:ascii="Arial" w:hAnsi="Arial"/>
          <w:b w:val="false"/>
          <w:bCs w:val="false"/>
          <w:sz w:val="24"/>
          <w:lang w:eastAsia="en-GB"/>
        </w:rPr>
        <w:t>October 6</w:t>
      </w:r>
      <w:r>
        <w:rPr>
          <w:rFonts w:eastAsia="Times New Roman" w:ascii="Arial" w:hAnsi="Arial"/>
          <w:b w:val="false"/>
          <w:bCs w:val="false"/>
          <w:sz w:val="24"/>
          <w:vertAlign w:val="superscript"/>
          <w:lang w:eastAsia="en-GB"/>
        </w:rPr>
        <w:t xml:space="preserve">th </w:t>
      </w:r>
      <w:r>
        <w:rPr>
          <w:rFonts w:eastAsia="Times New Roman" w:ascii="Arial" w:hAnsi="Arial"/>
          <w:b w:val="false"/>
          <w:bCs w:val="false"/>
          <w:sz w:val="24"/>
          <w:lang w:eastAsia="en-GB"/>
        </w:rPr>
        <w:t xml:space="preserve"> u., 7. First floor.</w:t>
      </w:r>
    </w:p>
    <w:p>
      <w:pPr>
        <w:pStyle w:val="Normal"/>
        <w:jc w:val="left"/>
        <w:rPr>
          <w:rFonts w:ascii="Arial" w:hAnsi="Arial" w:eastAsia="Times New Roman"/>
          <w:lang w:eastAsia="en-GB"/>
        </w:rPr>
      </w:pPr>
      <w:r>
        <w:rPr>
          <w:rFonts w:eastAsia="Times New Roman" w:ascii="Arial" w:hAnsi="Arial"/>
          <w:b w:val="false"/>
          <w:bCs w:val="false"/>
          <w:sz w:val="24"/>
          <w:lang w:val="en-US" w:eastAsia="en-US"/>
        </w:rPr>
      </w:r>
    </w:p>
    <w:p>
      <w:pPr>
        <w:pStyle w:val="Normal"/>
        <w:jc w:val="left"/>
        <w:rPr>
          <w:sz w:val="24"/>
        </w:rPr>
      </w:pPr>
      <w:r>
        <w:rPr>
          <w:sz w:val="24"/>
        </w:rPr>
      </w:r>
    </w:p>
    <w:p>
      <w:pPr>
        <w:pStyle w:val="NormalWeb"/>
        <w:rPr/>
      </w:pPr>
      <w:r>
        <w:rPr>
          <w:rFonts w:ascii="Times New Roman" w:hAnsi="Times New Roman"/>
          <w:b/>
          <w:sz w:val="24"/>
          <w:szCs w:val="24"/>
          <w:lang w:val="en-GB"/>
        </w:rPr>
        <w:t>Course objectives</w:t>
      </w:r>
    </w:p>
    <w:p>
      <w:pPr>
        <w:pStyle w:val="NormalWeb"/>
        <w:rPr>
          <w:rFonts w:ascii="Times New Roman" w:hAnsi="Times New Roman"/>
          <w:b/>
          <w:b/>
          <w:sz w:val="24"/>
          <w:szCs w:val="24"/>
          <w:lang w:val="en-GB"/>
        </w:rPr>
      </w:pPr>
      <w:r>
        <w:rPr/>
      </w:r>
    </w:p>
    <w:p>
      <w:pPr>
        <w:pStyle w:val="NormalWeb"/>
        <w:rPr>
          <w:rFonts w:ascii="Times New Roman" w:hAnsi="Times New Roman"/>
          <w:b/>
          <w:b/>
          <w:sz w:val="24"/>
          <w:szCs w:val="24"/>
          <w:lang w:val="en-GB"/>
        </w:rPr>
      </w:pPr>
      <w:r>
        <w:rPr/>
      </w:r>
    </w:p>
    <w:p>
      <w:pPr>
        <w:pStyle w:val="NormalWeb"/>
        <w:rPr/>
      </w:pPr>
      <w:r>
        <w:rPr>
          <w:rFonts w:ascii="Times New Roman" w:hAnsi="Times New Roman"/>
          <w:sz w:val="24"/>
          <w:szCs w:val="24"/>
        </w:rPr>
        <w:t xml:space="preserve">How can cognitive science inform policy-making? Can policy be improved by taking </w:t>
      </w:r>
      <w:r>
        <w:rPr>
          <w:rFonts w:ascii="Times New Roman" w:hAnsi="Times New Roman"/>
          <w:sz w:val="24"/>
          <w:szCs w:val="24"/>
        </w:rPr>
        <w:t>findings of cognitive science</w:t>
      </w:r>
      <w:r>
        <w:rPr>
          <w:rFonts w:ascii="Times New Roman" w:hAnsi="Times New Roman"/>
          <w:sz w:val="24"/>
          <w:szCs w:val="24"/>
        </w:rPr>
        <w:t xml:space="preserve"> into account? </w:t>
      </w:r>
    </w:p>
    <w:p>
      <w:pPr>
        <w:pStyle w:val="NormalWeb"/>
        <w:rPr/>
      </w:pPr>
      <w:r>
        <w:rPr>
          <w:rFonts w:ascii="Times New Roman" w:hAnsi="Times New Roman"/>
          <w:sz w:val="24"/>
          <w:szCs w:val="24"/>
        </w:rPr>
        <w:tab/>
        <w:t xml:space="preserve">Traditional policy making assumes that citizens are rational agents who </w:t>
      </w:r>
      <w:r>
        <w:rPr>
          <w:rFonts w:ascii="Times New Roman" w:hAnsi="Times New Roman"/>
          <w:sz w:val="24"/>
          <w:szCs w:val="24"/>
        </w:rPr>
        <w:t xml:space="preserve">always </w:t>
      </w:r>
      <w:r>
        <w:rPr>
          <w:rFonts w:ascii="Times New Roman" w:hAnsi="Times New Roman"/>
          <w:sz w:val="24"/>
          <w:szCs w:val="24"/>
        </w:rPr>
        <w:t xml:space="preserve">take the best decisions for themselves. Yet, findings in behavioral economics and cognitive psychology show that it is not the case: people </w:t>
      </w:r>
      <w:r>
        <w:rPr>
          <w:rFonts w:ascii="Times New Roman" w:hAnsi="Times New Roman"/>
          <w:sz w:val="24"/>
          <w:szCs w:val="24"/>
        </w:rPr>
        <w:t>are “predictably irrational</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 xml:space="preserve"> This</w:t>
      </w:r>
      <w:r>
        <w:rPr>
          <w:rFonts w:ascii="Times New Roman" w:hAnsi="Times New Roman"/>
          <w:sz w:val="24"/>
          <w:szCs w:val="24"/>
        </w:rPr>
        <w:t xml:space="preserve"> </w:t>
      </w:r>
      <w:r>
        <w:rPr>
          <w:rFonts w:ascii="Times New Roman" w:hAnsi="Times New Roman"/>
          <w:sz w:val="24"/>
          <w:szCs w:val="24"/>
        </w:rPr>
        <w:t xml:space="preserve">fact might </w:t>
      </w:r>
      <w:r>
        <w:rPr>
          <w:rFonts w:ascii="Times New Roman" w:hAnsi="Times New Roman"/>
          <w:sz w:val="24"/>
          <w:szCs w:val="24"/>
        </w:rPr>
        <w:t xml:space="preserve">open new avenues for </w:t>
      </w:r>
      <w:r>
        <w:rPr>
          <w:rFonts w:ascii="Times New Roman" w:hAnsi="Times New Roman"/>
          <w:sz w:val="24"/>
          <w:szCs w:val="24"/>
        </w:rPr>
        <w:t>making</w:t>
      </w:r>
      <w:r>
        <w:rPr>
          <w:rFonts w:ascii="Times New Roman" w:hAnsi="Times New Roman"/>
          <w:sz w:val="24"/>
          <w:szCs w:val="24"/>
        </w:rPr>
        <w:t xml:space="preserve"> policies </w:t>
      </w:r>
      <w:r>
        <w:rPr>
          <w:rFonts w:ascii="Times New Roman" w:hAnsi="Times New Roman"/>
          <w:sz w:val="24"/>
          <w:szCs w:val="24"/>
        </w:rPr>
        <w:t>that</w:t>
      </w:r>
      <w:r>
        <w:rPr>
          <w:rFonts w:ascii="Times New Roman" w:hAnsi="Times New Roman"/>
          <w:sz w:val="24"/>
          <w:szCs w:val="24"/>
        </w:rPr>
        <w:t xml:space="preserve"> foster individual decisions that are better for both the individual taking them and society. </w:t>
      </w:r>
    </w:p>
    <w:p>
      <w:pPr>
        <w:pStyle w:val="NormalWeb"/>
        <w:rPr/>
      </w:pPr>
      <w:r>
        <w:rPr>
          <w:rFonts w:ascii="Times New Roman" w:hAnsi="Times New Roman"/>
          <w:sz w:val="24"/>
          <w:szCs w:val="24"/>
        </w:rPr>
        <w:tab/>
        <w:t xml:space="preserve">The course addresses </w:t>
      </w:r>
      <w:r>
        <w:rPr>
          <w:rFonts w:ascii="Times New Roman" w:hAnsi="Times New Roman"/>
          <w:sz w:val="24"/>
          <w:szCs w:val="24"/>
        </w:rPr>
        <w:t>both the method and the moral basis of the use of cognitive psychology in policy making. This includes</w:t>
      </w:r>
      <w:r>
        <w:rPr>
          <w:rFonts w:ascii="Times New Roman" w:hAnsi="Times New Roman"/>
          <w:sz w:val="24"/>
          <w:szCs w:val="24"/>
        </w:rPr>
        <w:t xml:space="preserve"> issues in contemporary political philosophy  regarding the legitimacy of using scientific theories about human behavior for political purposes.  </w:t>
      </w:r>
      <w:r>
        <w:rPr>
          <w:rFonts w:ascii="Times New Roman" w:hAnsi="Times New Roman"/>
          <w:sz w:val="24"/>
          <w:szCs w:val="24"/>
        </w:rPr>
        <w:t>It also include issues in behavioral economics and a specification of its</w:t>
      </w:r>
      <w:r>
        <w:rPr>
          <w:rFonts w:ascii="Times New Roman" w:hAnsi="Times New Roman"/>
          <w:sz w:val="24"/>
          <w:szCs w:val="24"/>
        </w:rPr>
        <w:t xml:space="preserve"> relevance to </w:t>
      </w:r>
      <w:r>
        <w:rPr>
          <w:rFonts w:ascii="Times New Roman" w:hAnsi="Times New Roman"/>
          <w:sz w:val="24"/>
          <w:szCs w:val="24"/>
        </w:rPr>
        <w:t>policy making</w:t>
      </w:r>
    </w:p>
    <w:p>
      <w:pPr>
        <w:pStyle w:val="NormalWeb"/>
        <w:rPr>
          <w:rFonts w:ascii="Times New Roman" w:hAnsi="Times New Roman"/>
          <w:sz w:val="24"/>
          <w:szCs w:val="24"/>
          <w:lang w:val="en-GB"/>
        </w:rPr>
      </w:pPr>
      <w:r>
        <w:rPr>
          <w:rFonts w:ascii="Times New Roman" w:hAnsi="Times New Roman"/>
          <w:sz w:val="24"/>
          <w:szCs w:val="24"/>
          <w:lang w:val="en-GB"/>
        </w:rPr>
      </w:r>
    </w:p>
    <w:p>
      <w:pPr>
        <w:pStyle w:val="NormalWeb"/>
        <w:rPr>
          <w:rFonts w:ascii="Times New Roman" w:hAnsi="Times New Roman"/>
          <w:sz w:val="24"/>
          <w:szCs w:val="24"/>
          <w:lang w:val="en-GB"/>
        </w:rPr>
      </w:pPr>
      <w:r>
        <w:rPr>
          <w:rFonts w:ascii="Times New Roman" w:hAnsi="Times New Roman"/>
          <w:b/>
          <w:sz w:val="24"/>
          <w:szCs w:val="24"/>
          <w:lang w:val="en-GB"/>
        </w:rPr>
        <w:t>Course Structure</w:t>
      </w:r>
    </w:p>
    <w:p>
      <w:pPr>
        <w:pStyle w:val="NormalWeb"/>
        <w:rPr/>
      </w:pPr>
      <w:r>
        <w:rPr>
          <w:rFonts w:ascii="Times New Roman" w:hAnsi="Times New Roman"/>
          <w:sz w:val="24"/>
          <w:szCs w:val="24"/>
          <w:lang w:val="en-GB"/>
        </w:rPr>
        <w:t xml:space="preserve">The course </w:t>
      </w:r>
      <w:r>
        <w:rPr>
          <w:rFonts w:ascii="Times New Roman" w:hAnsi="Times New Roman"/>
          <w:sz w:val="24"/>
          <w:szCs w:val="24"/>
          <w:lang w:val="en-GB"/>
        </w:rPr>
        <w:t>will include old fashioned</w:t>
      </w:r>
      <w:r>
        <w:rPr>
          <w:rFonts w:ascii="Times New Roman" w:hAnsi="Times New Roman"/>
          <w:sz w:val="24"/>
          <w:szCs w:val="24"/>
          <w:lang w:val="en-GB"/>
        </w:rPr>
        <w:t xml:space="preserve"> lectures, seminars </w:t>
      </w:r>
      <w:r>
        <w:rPr>
          <w:rFonts w:ascii="Times New Roman" w:hAnsi="Times New Roman"/>
          <w:sz w:val="24"/>
          <w:szCs w:val="24"/>
          <w:lang w:val="en-GB"/>
        </w:rPr>
        <w:t xml:space="preserve">organised as discussion over </w:t>
      </w:r>
      <w:r>
        <w:rPr>
          <w:rFonts w:ascii="Times New Roman" w:hAnsi="Times New Roman"/>
          <w:sz w:val="24"/>
          <w:szCs w:val="24"/>
          <w:lang w:val="en-GB"/>
        </w:rPr>
        <w:t>. A lecture summarizes the main theoretical and empirical advances in each topic, and the seminar is devoted to the discussion of the reading material. Students are also required to write an essay on a topic agreed with the lecturers.</w:t>
      </w:r>
    </w:p>
    <w:p>
      <w:pPr>
        <w:pStyle w:val="NormalWeb"/>
        <w:rPr>
          <w:rFonts w:ascii="Times New Roman" w:hAnsi="Times New Roman"/>
          <w:b/>
          <w:b/>
          <w:sz w:val="24"/>
          <w:szCs w:val="24"/>
          <w:lang w:val="en-GB"/>
        </w:rPr>
      </w:pPr>
      <w:r>
        <w:rPr>
          <w:rFonts w:ascii="Times New Roman" w:hAnsi="Times New Roman"/>
          <w:b/>
          <w:sz w:val="24"/>
          <w:szCs w:val="24"/>
          <w:lang w:val="en-GB"/>
        </w:rPr>
      </w:r>
    </w:p>
    <w:p>
      <w:pPr>
        <w:pStyle w:val="NormalWeb"/>
        <w:rPr>
          <w:rFonts w:ascii="Times New Roman" w:hAnsi="Times New Roman"/>
          <w:sz w:val="24"/>
          <w:szCs w:val="24"/>
          <w:lang w:val="en-GB"/>
        </w:rPr>
      </w:pPr>
      <w:r>
        <w:rPr>
          <w:rFonts w:ascii="Times New Roman" w:hAnsi="Times New Roman"/>
          <w:b/>
          <w:sz w:val="24"/>
          <w:szCs w:val="24"/>
          <w:lang w:val="en-GB"/>
        </w:rPr>
        <w:t>Learning outcomes</w:t>
      </w:r>
    </w:p>
    <w:p>
      <w:pPr>
        <w:pStyle w:val="NormalWeb"/>
        <w:rPr>
          <w:rFonts w:ascii="Times New Roman" w:hAnsi="Times New Roman"/>
          <w:sz w:val="24"/>
          <w:szCs w:val="24"/>
          <w:lang w:val="en-GB"/>
        </w:rPr>
      </w:pPr>
      <w:r>
        <w:rPr>
          <w:rFonts w:ascii="Times New Roman" w:hAnsi="Times New Roman"/>
          <w:sz w:val="24"/>
          <w:szCs w:val="24"/>
          <w:lang w:val="en-GB"/>
        </w:rPr>
        <w:t>In this course, students will acquire knowledge about, and will reflect on:</w:t>
      </w:r>
    </w:p>
    <w:p>
      <w:pPr>
        <w:pStyle w:val="NormalWeb"/>
        <w:numPr>
          <w:ilvl w:val="0"/>
          <w:numId w:val="4"/>
        </w:numPr>
        <w:rPr>
          <w:rFonts w:ascii="Times New Roman" w:hAnsi="Times New Roman"/>
          <w:sz w:val="24"/>
          <w:szCs w:val="24"/>
          <w:lang w:val="en-GB"/>
        </w:rPr>
      </w:pPr>
      <w:r>
        <w:rPr>
          <w:rFonts w:ascii="Times New Roman" w:hAnsi="Times New Roman"/>
          <w:sz w:val="24"/>
          <w:szCs w:val="24"/>
          <w:lang w:val="en-GB"/>
        </w:rPr>
        <w:t>theories in cognitive science deemed to be relevant to political science; these mainly include experimental work on biases in decision-making.</w:t>
      </w:r>
    </w:p>
    <w:p>
      <w:pPr>
        <w:pStyle w:val="NormalWeb"/>
        <w:numPr>
          <w:ilvl w:val="0"/>
          <w:numId w:val="4"/>
        </w:numPr>
        <w:rPr>
          <w:rFonts w:ascii="Times New Roman" w:hAnsi="Times New Roman"/>
          <w:sz w:val="24"/>
          <w:szCs w:val="24"/>
          <w:lang w:val="en-GB"/>
        </w:rPr>
      </w:pPr>
      <w:r>
        <w:rPr>
          <w:rFonts w:ascii="Times New Roman" w:hAnsi="Times New Roman"/>
          <w:sz w:val="24"/>
          <w:szCs w:val="24"/>
          <w:lang w:val="en-GB"/>
        </w:rPr>
        <w:t>specific applications of policy-making informed by cognitive psychology/science, with an eventual focus on cooperative behaviour</w:t>
      </w:r>
    </w:p>
    <w:p>
      <w:pPr>
        <w:pStyle w:val="NormalWeb"/>
        <w:numPr>
          <w:ilvl w:val="0"/>
          <w:numId w:val="4"/>
        </w:numPr>
        <w:rPr>
          <w:rFonts w:ascii="Times New Roman" w:hAnsi="Times New Roman"/>
          <w:sz w:val="24"/>
          <w:szCs w:val="24"/>
          <w:lang w:val="en-GB"/>
        </w:rPr>
      </w:pPr>
      <w:r>
        <w:rPr>
          <w:rFonts w:ascii="Times New Roman" w:hAnsi="Times New Roman"/>
          <w:sz w:val="24"/>
          <w:szCs w:val="24"/>
          <w:lang w:val="en-GB"/>
        </w:rPr>
        <w:t>whether exploiting the theories of cognitive psychology for policy-making can be understood as beneficial or even acceptable, depending on one's ethical principles</w:t>
      </w:r>
    </w:p>
    <w:p>
      <w:pPr>
        <w:pStyle w:val="Normal"/>
        <w:jc w:val="left"/>
        <w:rPr>
          <w:sz w:val="24"/>
        </w:rPr>
      </w:pPr>
      <w:r>
        <w:rPr/>
      </w:r>
    </w:p>
    <w:p>
      <w:pPr>
        <w:pStyle w:val="Normal"/>
        <w:ind w:left="360" w:hanging="0"/>
        <w:jc w:val="left"/>
        <w:rPr>
          <w:sz w:val="24"/>
        </w:rPr>
      </w:pPr>
      <w:r>
        <w:rPr>
          <w:sz w:val="24"/>
        </w:rPr>
      </w:r>
    </w:p>
    <w:p>
      <w:pPr>
        <w:pStyle w:val="Normal"/>
        <w:jc w:val="left"/>
        <w:rPr>
          <w:b/>
          <w:b/>
          <w:sz w:val="24"/>
        </w:rPr>
      </w:pPr>
      <w:r>
        <w:rPr>
          <w:b/>
          <w:sz w:val="24"/>
        </w:rPr>
        <w:t>Requirements:</w:t>
      </w:r>
    </w:p>
    <w:p>
      <w:pPr>
        <w:pStyle w:val="Normal"/>
        <w:numPr>
          <w:ilvl w:val="0"/>
          <w:numId w:val="2"/>
        </w:numPr>
        <w:jc w:val="left"/>
        <w:rPr>
          <w:sz w:val="24"/>
        </w:rPr>
      </w:pPr>
      <w:r>
        <w:rPr>
          <w:sz w:val="24"/>
        </w:rPr>
        <w:t>All students must read the core reading before the lectures and seminars. Students are expected to contribute to class discussion and should have ready, each week, at least one question based on the texts and that could be fruitfully addressed during class discussion.</w:t>
      </w:r>
    </w:p>
    <w:p>
      <w:pPr>
        <w:pStyle w:val="Normal"/>
        <w:numPr>
          <w:ilvl w:val="0"/>
          <w:numId w:val="2"/>
        </w:numPr>
        <w:jc w:val="left"/>
        <w:rPr/>
      </w:pPr>
      <w:r>
        <w:rPr>
          <w:sz w:val="24"/>
        </w:rPr>
        <w:t xml:space="preserve">Each student will present </w:t>
      </w:r>
      <w:r>
        <w:rPr>
          <w:sz w:val="24"/>
        </w:rPr>
        <w:t>one</w:t>
      </w:r>
      <w:r>
        <w:rPr>
          <w:sz w:val="24"/>
        </w:rPr>
        <w:t xml:space="preserve"> paper to the class. For this presentation, we encourage preparing a handout that summarizes the goals of the papers, their main arguments and the method and evidence they rely on. We also discourage the use of power point.</w:t>
      </w:r>
    </w:p>
    <w:p>
      <w:pPr>
        <w:pStyle w:val="Normal"/>
        <w:numPr>
          <w:ilvl w:val="0"/>
          <w:numId w:val="2"/>
        </w:numPr>
        <w:jc w:val="left"/>
        <w:rPr/>
      </w:pPr>
      <w:r>
        <w:rPr>
          <w:sz w:val="24"/>
        </w:rPr>
        <w:t xml:space="preserve">Registered students must submit a final essay of no more than </w:t>
      </w:r>
      <w:r>
        <w:rPr>
          <w:sz w:val="24"/>
        </w:rPr>
        <w:t>2</w:t>
      </w:r>
      <w:r>
        <w:rPr>
          <w:sz w:val="24"/>
        </w:rPr>
        <w:t>,000 words at the end of the term.</w:t>
      </w:r>
    </w:p>
    <w:p>
      <w:pPr>
        <w:pStyle w:val="Normal"/>
        <w:jc w:val="left"/>
        <w:rPr>
          <w:sz w:val="24"/>
        </w:rPr>
      </w:pPr>
      <w:r>
        <w:rPr>
          <w:sz w:val="24"/>
        </w:rPr>
      </w:r>
    </w:p>
    <w:p>
      <w:pPr>
        <w:pStyle w:val="Normal"/>
        <w:jc w:val="left"/>
        <w:rPr>
          <w:sz w:val="24"/>
        </w:rPr>
      </w:pPr>
      <w:r>
        <w:rPr>
          <w:sz w:val="24"/>
        </w:rPr>
        <w:t>Grades will be awarded as follows:</w:t>
      </w:r>
    </w:p>
    <w:p>
      <w:pPr>
        <w:pStyle w:val="Normal"/>
        <w:numPr>
          <w:ilvl w:val="0"/>
          <w:numId w:val="3"/>
        </w:numPr>
        <w:jc w:val="left"/>
        <w:rPr/>
      </w:pPr>
      <w:r>
        <w:rPr>
          <w:i/>
          <w:iCs/>
          <w:sz w:val="24"/>
        </w:rPr>
        <w:t xml:space="preserve">Final essay </w:t>
      </w:r>
      <w:r>
        <w:rPr>
          <w:i/>
          <w:iCs/>
          <w:sz w:val="24"/>
        </w:rPr>
        <w:t>3</w:t>
      </w:r>
      <w:r>
        <w:rPr>
          <w:i/>
          <w:iCs/>
          <w:sz w:val="24"/>
        </w:rPr>
        <w:t>0%</w:t>
      </w:r>
      <w:r>
        <w:rPr>
          <w:sz w:val="24"/>
        </w:rPr>
        <w:t xml:space="preserve"> (</w:t>
      </w:r>
      <w:r>
        <w:rPr>
          <w:sz w:val="24"/>
        </w:rPr>
        <w:t>The short essay—less than 2000 words—will either be an independent position paper, or a critical review of a relevant book, paper or set of papers. The subject should be decided as early as possible together with the me</w:t>
      </w:r>
      <w:r>
        <w:rPr>
          <w:sz w:val="24"/>
        </w:rPr>
        <w:t xml:space="preserve">). </w:t>
      </w:r>
    </w:p>
    <w:p>
      <w:pPr>
        <w:pStyle w:val="Normal"/>
        <w:numPr>
          <w:ilvl w:val="0"/>
          <w:numId w:val="3"/>
        </w:numPr>
        <w:jc w:val="left"/>
        <w:rPr/>
      </w:pPr>
      <w:r>
        <w:rPr>
          <w:i/>
          <w:iCs/>
          <w:sz w:val="24"/>
        </w:rPr>
        <w:t>Presentation of a paper 20%</w:t>
      </w:r>
      <w:r>
        <w:rPr>
          <w:sz w:val="24"/>
        </w:rPr>
        <w:t xml:space="preserve"> (the presentation looks for an ability to verbally express and criticise arguments. It also focuses on the skills needed to explain general arguments in a crisp and succinct way).</w:t>
      </w:r>
    </w:p>
    <w:p>
      <w:pPr>
        <w:pStyle w:val="Normal"/>
        <w:numPr>
          <w:ilvl w:val="0"/>
          <w:numId w:val="3"/>
        </w:numPr>
        <w:jc w:val="left"/>
        <w:rPr/>
      </w:pPr>
      <w:r>
        <w:rPr>
          <w:i/>
          <w:iCs/>
          <w:sz w:val="24"/>
        </w:rPr>
        <w:t xml:space="preserve">Presentation of a nudge </w:t>
      </w:r>
      <w:r>
        <w:rPr>
          <w:i/>
          <w:iCs/>
          <w:sz w:val="24"/>
        </w:rPr>
        <w:t xml:space="preserve">in the nudge fair </w:t>
      </w:r>
      <w:r>
        <w:rPr>
          <w:i/>
          <w:iCs/>
          <w:sz w:val="24"/>
        </w:rPr>
        <w:t xml:space="preserve">20% </w:t>
      </w:r>
      <w:r>
        <w:rPr>
          <w:i w:val="false"/>
          <w:iCs w:val="false"/>
          <w:sz w:val="24"/>
        </w:rPr>
        <w:t xml:space="preserve">(The presented nudge should be thoroughly analysed: What are the psychological evidence that the nudge is needed? In what way would the presented nudge improve people’s life? Does it respect the nudgees? Does it go against their autonomy? What experiment (lab or field) would </w:t>
      </w:r>
      <w:r>
        <w:rPr>
          <w:i w:val="false"/>
          <w:iCs w:val="false"/>
          <w:sz w:val="24"/>
        </w:rPr>
        <w:t>enable assessing the efficiency of the nudge?</w:t>
      </w:r>
    </w:p>
    <w:p>
      <w:pPr>
        <w:pStyle w:val="Normal"/>
        <w:numPr>
          <w:ilvl w:val="0"/>
          <w:numId w:val="3"/>
        </w:numPr>
        <w:jc w:val="left"/>
        <w:rPr/>
      </w:pPr>
      <w:r>
        <w:rPr>
          <w:i/>
          <w:iCs/>
          <w:sz w:val="24"/>
        </w:rPr>
        <w:t>P</w:t>
      </w:r>
      <w:r>
        <w:rPr>
          <w:i/>
          <w:iCs/>
          <w:sz w:val="24"/>
        </w:rPr>
        <w:t xml:space="preserve">erformance in the debate session </w:t>
      </w:r>
      <w:r>
        <w:rPr>
          <w:i/>
          <w:iCs/>
          <w:sz w:val="24"/>
        </w:rPr>
        <w:t>15</w:t>
      </w:r>
      <w:r>
        <w:rPr>
          <w:i/>
          <w:iCs/>
          <w:sz w:val="24"/>
        </w:rPr>
        <w:t>%</w:t>
      </w:r>
    </w:p>
    <w:p>
      <w:pPr>
        <w:pStyle w:val="Normal"/>
        <w:numPr>
          <w:ilvl w:val="0"/>
          <w:numId w:val="3"/>
        </w:numPr>
        <w:jc w:val="left"/>
        <w:rPr/>
      </w:pPr>
      <w:r>
        <w:rPr>
          <w:i/>
          <w:iCs/>
          <w:sz w:val="24"/>
        </w:rPr>
        <w:t xml:space="preserve">Participation </w:t>
      </w:r>
      <w:r>
        <w:rPr>
          <w:i/>
          <w:iCs/>
          <w:sz w:val="24"/>
        </w:rPr>
        <w:t>1</w:t>
      </w:r>
      <w:r>
        <w:rPr>
          <w:i/>
          <w:iCs/>
          <w:sz w:val="24"/>
        </w:rPr>
        <w:t>5</w:t>
      </w:r>
      <w:r>
        <w:rPr>
          <w:i/>
          <w:iCs/>
          <w:sz w:val="24"/>
        </w:rPr>
        <w:t>%</w:t>
      </w:r>
    </w:p>
    <w:p>
      <w:pPr>
        <w:pStyle w:val="Normal"/>
        <w:numPr>
          <w:ilvl w:val="0"/>
          <w:numId w:val="0"/>
        </w:numPr>
        <w:ind w:left="360" w:hanging="0"/>
        <w:jc w:val="left"/>
        <w:rPr>
          <w:i/>
          <w:i/>
          <w:iCs/>
          <w:sz w:val="24"/>
        </w:rPr>
      </w:pPr>
      <w:r>
        <w:rPr/>
      </w:r>
    </w:p>
    <w:p>
      <w:pPr>
        <w:pStyle w:val="Normal"/>
        <w:jc w:val="left"/>
        <w:rPr>
          <w:b/>
          <w:b/>
          <w:sz w:val="24"/>
        </w:rPr>
      </w:pPr>
      <w:r>
        <w:rPr>
          <w:b/>
          <w:sz w:val="24"/>
        </w:rPr>
      </w:r>
    </w:p>
    <w:p>
      <w:pPr>
        <w:pStyle w:val="Normal"/>
        <w:jc w:val="left"/>
        <w:rPr>
          <w:b/>
          <w:b/>
          <w:sz w:val="24"/>
        </w:rPr>
      </w:pPr>
      <w:r>
        <w:rPr>
          <w:b/>
          <w:sz w:val="24"/>
        </w:rPr>
        <w:t>The sessions are:</w:t>
      </w:r>
    </w:p>
    <w:p>
      <w:pPr>
        <w:pStyle w:val="Normal"/>
        <w:jc w:val="left"/>
        <w:rPr>
          <w:b/>
          <w:b/>
          <w:sz w:val="24"/>
        </w:rPr>
      </w:pPr>
      <w:r>
        <w:rPr>
          <w:b/>
          <w:sz w:val="24"/>
        </w:rPr>
      </w:r>
    </w:p>
    <w:p>
      <w:pPr>
        <w:pStyle w:val="ListParagraph"/>
        <w:numPr>
          <w:ilvl w:val="0"/>
          <w:numId w:val="1"/>
        </w:numPr>
        <w:jc w:val="left"/>
        <w:rPr/>
      </w:pPr>
      <w:r>
        <w:rPr>
          <w:b/>
          <w:bCs/>
          <w:sz w:val="24"/>
        </w:rPr>
        <w:t xml:space="preserve">Rational decision making </w:t>
      </w:r>
      <w:r>
        <w:rPr>
          <w:b/>
          <w:bCs/>
          <w:sz w:val="24"/>
        </w:rPr>
        <w:t>and bounded rationality</w:t>
      </w:r>
    </w:p>
    <w:p>
      <w:pPr>
        <w:pStyle w:val="Normal"/>
        <w:jc w:val="left"/>
        <w:rPr/>
      </w:pPr>
      <w:r>
        <w:rPr/>
      </w:r>
    </w:p>
    <w:p>
      <w:pPr>
        <w:pStyle w:val="Normal"/>
        <w:jc w:val="left"/>
        <w:rPr/>
      </w:pPr>
      <w:r>
        <w:rPr>
          <w:sz w:val="24"/>
        </w:rPr>
        <w:t>Introductory lecture to decision theory and related notions: preferences, risks, calculation of expected utility, rationality and bounded rationality.</w:t>
      </w:r>
    </w:p>
    <w:p>
      <w:pPr>
        <w:pStyle w:val="Normal"/>
        <w:jc w:val="left"/>
        <w:rPr>
          <w:sz w:val="24"/>
        </w:rPr>
      </w:pPr>
      <w:r>
        <w:rPr>
          <w:sz w:val="24"/>
        </w:rPr>
      </w:r>
    </w:p>
    <w:p>
      <w:pPr>
        <w:pStyle w:val="Normal"/>
        <w:jc w:val="left"/>
        <w:rPr/>
      </w:pPr>
      <w:r>
        <w:rPr>
          <w:sz w:val="24"/>
        </w:rPr>
        <w:t>No r</w:t>
      </w:r>
      <w:r>
        <w:rPr>
          <w:sz w:val="24"/>
        </w:rPr>
        <w:t>equired reading</w:t>
      </w:r>
    </w:p>
    <w:p>
      <w:pPr>
        <w:pStyle w:val="Normal"/>
        <w:jc w:val="left"/>
        <w:rPr>
          <w:sz w:val="24"/>
        </w:rPr>
      </w:pPr>
      <w:r>
        <w:rPr>
          <w:sz w:val="24"/>
        </w:rPr>
      </w:r>
    </w:p>
    <w:p>
      <w:pPr>
        <w:pStyle w:val="ListParagraph"/>
        <w:numPr>
          <w:ilvl w:val="0"/>
          <w:numId w:val="1"/>
        </w:numPr>
        <w:jc w:val="left"/>
        <w:rPr/>
      </w:pPr>
      <w:r>
        <w:rPr>
          <w:b/>
          <w:sz w:val="24"/>
        </w:rPr>
        <w:t>Experimental economics: relevant results and methods</w:t>
      </w:r>
    </w:p>
    <w:p>
      <w:pPr>
        <w:pStyle w:val="ListParagraph"/>
        <w:jc w:val="left"/>
        <w:rPr>
          <w:b/>
          <w:b/>
          <w:sz w:val="24"/>
        </w:rPr>
      </w:pPr>
      <w:r>
        <w:rPr/>
      </w:r>
    </w:p>
    <w:p>
      <w:pPr>
        <w:pStyle w:val="Normal"/>
        <w:jc w:val="left"/>
        <w:rPr/>
      </w:pPr>
      <w:r>
        <w:rPr>
          <w:sz w:val="24"/>
        </w:rPr>
        <w:t>Overview of different cognitive biases discovered by behavioural economists and cognitive psychologists. Explanation of the theoretical framework and experimental method put to work for investigating irrational choices.</w:t>
      </w:r>
    </w:p>
    <w:p>
      <w:pPr>
        <w:pStyle w:val="Normal"/>
        <w:jc w:val="left"/>
        <w:rPr>
          <w:sz w:val="24"/>
        </w:rPr>
      </w:pPr>
      <w:r>
        <w:rPr>
          <w:sz w:val="24"/>
        </w:rPr>
      </w:r>
    </w:p>
    <w:p>
      <w:pPr>
        <w:pStyle w:val="Normal"/>
        <w:jc w:val="left"/>
        <w:rPr/>
      </w:pPr>
      <w:r>
        <w:rPr>
          <w:sz w:val="24"/>
        </w:rPr>
        <w:t>Required reading</w:t>
      </w:r>
    </w:p>
    <w:p>
      <w:pPr>
        <w:pStyle w:val="Normal"/>
        <w:jc w:val="left"/>
        <w:rPr/>
      </w:pPr>
      <w:r>
        <w:rPr>
          <w:sz w:val="24"/>
        </w:rPr>
        <w:t xml:space="preserve">Shampanier, Kristina, Nina Mazar, and Dan Ariely. "Zero as a special price: The true value of free products." </w:t>
      </w:r>
      <w:r>
        <w:rPr>
          <w:i/>
          <w:sz w:val="24"/>
        </w:rPr>
        <w:t>Marketing Science</w:t>
      </w:r>
      <w:r>
        <w:rPr>
          <w:sz w:val="24"/>
        </w:rPr>
        <w:t xml:space="preserve"> 26.6 (2007): 742-757.</w:t>
      </w:r>
    </w:p>
    <w:p>
      <w:pPr>
        <w:pStyle w:val="Normal"/>
        <w:jc w:val="left"/>
        <w:rPr>
          <w:sz w:val="24"/>
        </w:rPr>
      </w:pPr>
      <w:r>
        <w:rPr>
          <w:sz w:val="24"/>
        </w:rPr>
      </w:r>
    </w:p>
    <w:p>
      <w:pPr>
        <w:pStyle w:val="Normal"/>
        <w:jc w:val="left"/>
        <w:rPr/>
      </w:pPr>
      <w:r>
        <w:rPr>
          <w:sz w:val="24"/>
        </w:rPr>
        <w:t>Further readings</w:t>
      </w:r>
    </w:p>
    <w:p>
      <w:pPr>
        <w:pStyle w:val="Normal"/>
        <w:jc w:val="left"/>
        <w:rPr/>
      </w:pPr>
      <w:r>
        <w:rPr>
          <w:rFonts w:eastAsia="Cambria" w:eastAsiaTheme="minorHAnsi"/>
          <w:sz w:val="24"/>
        </w:rPr>
        <w:t xml:space="preserve">Kahneman, D., &amp; Tversky, A. (1979). Prospect Theory: An Analysis of Decision under Risk. </w:t>
      </w:r>
      <w:r>
        <w:rPr>
          <w:rFonts w:eastAsia="Cambria" w:eastAsiaTheme="minorHAnsi"/>
          <w:i/>
          <w:sz w:val="24"/>
        </w:rPr>
        <w:t>Econometrica</w:t>
      </w:r>
      <w:r>
        <w:rPr>
          <w:rFonts w:eastAsia="Cambria" w:eastAsiaTheme="minorHAnsi"/>
          <w:sz w:val="24"/>
        </w:rPr>
        <w:t xml:space="preserve">, </w:t>
      </w:r>
      <w:r>
        <w:rPr>
          <w:rFonts w:eastAsia="Cambria" w:eastAsiaTheme="minorHAnsi"/>
          <w:i/>
          <w:sz w:val="24"/>
        </w:rPr>
        <w:t>47</w:t>
      </w:r>
      <w:r>
        <w:rPr>
          <w:rFonts w:eastAsia="Cambria" w:eastAsiaTheme="minorHAnsi"/>
          <w:sz w:val="24"/>
        </w:rPr>
        <w:t>(2), 263–292.</w:t>
      </w:r>
    </w:p>
    <w:p>
      <w:pPr>
        <w:pStyle w:val="Normal"/>
        <w:jc w:val="left"/>
        <w:rPr/>
      </w:pPr>
      <w:r>
        <w:rPr>
          <w:b w:val="false"/>
          <w:bCs w:val="false"/>
          <w:sz w:val="24"/>
        </w:rPr>
        <w:t xml:space="preserve">Ariely, Dan (2008) </w:t>
      </w:r>
      <w:r>
        <w:rPr>
          <w:b w:val="false"/>
          <w:bCs w:val="false"/>
          <w:i/>
          <w:sz w:val="24"/>
        </w:rPr>
        <w:t>Predicably Irrational</w:t>
      </w:r>
      <w:r>
        <w:rPr>
          <w:b w:val="false"/>
          <w:bCs w:val="false"/>
          <w:sz w:val="24"/>
        </w:rPr>
        <w:t>.</w:t>
      </w:r>
    </w:p>
    <w:p>
      <w:pPr>
        <w:pStyle w:val="Normal"/>
        <w:jc w:val="left"/>
        <w:rPr>
          <w:b w:val="false"/>
          <w:b w:val="false"/>
          <w:bCs w:val="false"/>
          <w:sz w:val="24"/>
        </w:rPr>
      </w:pPr>
      <w:r>
        <w:rPr/>
      </w:r>
    </w:p>
    <w:p>
      <w:pPr>
        <w:pStyle w:val="Normal"/>
        <w:jc w:val="left"/>
        <w:rPr/>
      </w:pPr>
      <w:r>
        <w:rPr>
          <w:b w:val="false"/>
          <w:bCs w:val="false"/>
          <w:sz w:val="24"/>
        </w:rPr>
        <w:t>On evidence based policy making (education in this case)</w:t>
      </w:r>
    </w:p>
    <w:p>
      <w:pPr>
        <w:pStyle w:val="Normal"/>
        <w:jc w:val="left"/>
        <w:rPr/>
      </w:pPr>
      <w:r>
        <w:rPr>
          <w:b w:val="false"/>
          <w:bCs w:val="false"/>
          <w:i w:val="false"/>
          <w:caps w:val="false"/>
          <w:smallCaps w:val="false"/>
          <w:spacing w:val="0"/>
          <w:sz w:val="24"/>
        </w:rPr>
        <w:t>Goldacre, B. (2013). Building evidence into education. Bad Science.</w:t>
      </w:r>
      <w:r>
        <w:rPr>
          <w:b w:val="false"/>
          <w:bCs w:val="false"/>
          <w:caps w:val="false"/>
          <w:smallCaps w:val="false"/>
          <w:spacing w:val="0"/>
          <w:sz w:val="24"/>
        </w:rPr>
        <w:t> </w:t>
      </w:r>
    </w:p>
    <w:p>
      <w:pPr>
        <w:pStyle w:val="Normal"/>
        <w:jc w:val="left"/>
        <w:rPr/>
      </w:pPr>
      <w:hyperlink r:id="rId2">
        <w:r>
          <w:rPr>
            <w:rStyle w:val="InternetLink"/>
            <w:b w:val="false"/>
            <w:bCs w:val="false"/>
            <w:caps w:val="false"/>
            <w:smallCaps w:val="false"/>
            <w:color w:val="222222"/>
            <w:spacing w:val="0"/>
            <w:sz w:val="24"/>
          </w:rPr>
          <w:t>http://media.education.gov.uk/assets/files/pdf/b/ben%20goldacre%20paper.pdf</w:t>
        </w:r>
      </w:hyperlink>
      <w:r>
        <w:rPr>
          <w:b w:val="false"/>
          <w:bCs w:val="false"/>
          <w:caps w:val="false"/>
          <w:smallCaps w:val="false"/>
          <w:color w:val="222222"/>
          <w:spacing w:val="0"/>
          <w:sz w:val="24"/>
        </w:rPr>
        <w:t xml:space="preserve"> </w:t>
      </w:r>
    </w:p>
    <w:p>
      <w:pPr>
        <w:pStyle w:val="Normal"/>
        <w:jc w:val="left"/>
        <w:rPr>
          <w:sz w:val="24"/>
        </w:rPr>
      </w:pPr>
      <w:r>
        <w:rPr>
          <w:sz w:val="24"/>
        </w:rPr>
      </w:r>
    </w:p>
    <w:p>
      <w:pPr>
        <w:pStyle w:val="Normal"/>
        <w:jc w:val="left"/>
        <w:rPr>
          <w:sz w:val="24"/>
        </w:rPr>
      </w:pPr>
      <w:r>
        <w:rPr>
          <w:sz w:val="24"/>
        </w:rPr>
      </w:r>
    </w:p>
    <w:p>
      <w:pPr>
        <w:pStyle w:val="ListParagraph"/>
        <w:numPr>
          <w:ilvl w:val="0"/>
          <w:numId w:val="1"/>
        </w:numPr>
        <w:jc w:val="left"/>
        <w:rPr/>
      </w:pPr>
      <w:r>
        <w:rPr>
          <w:b/>
          <w:sz w:val="24"/>
        </w:rPr>
        <w:t>What is a nudge?</w:t>
      </w:r>
    </w:p>
    <w:p>
      <w:pPr>
        <w:pStyle w:val="Normal"/>
        <w:jc w:val="left"/>
        <w:rPr>
          <w:sz w:val="24"/>
        </w:rPr>
      </w:pPr>
      <w:r>
        <w:rPr>
          <w:sz w:val="24"/>
        </w:rPr>
        <w:t xml:space="preserve">Session dedicated to </w:t>
      </w:r>
    </w:p>
    <w:p>
      <w:pPr>
        <w:pStyle w:val="Normal"/>
        <w:jc w:val="left"/>
        <w:rPr>
          <w:sz w:val="24"/>
        </w:rPr>
      </w:pPr>
      <w:r>
        <w:rPr>
          <w:sz w:val="24"/>
        </w:rPr>
        <w:t>a. explaining the idea of ‘libertarian paternalism’ that motivates nudging, in contrast with other kinds of paternalisms.</w:t>
      </w:r>
    </w:p>
    <w:p>
      <w:pPr>
        <w:pStyle w:val="Normal"/>
        <w:jc w:val="left"/>
        <w:rPr>
          <w:sz w:val="24"/>
        </w:rPr>
      </w:pPr>
      <w:r>
        <w:rPr>
          <w:sz w:val="24"/>
        </w:rPr>
        <w:t>b. specifying what criteria could be used for distinguishing nudges from other political interventions.</w:t>
      </w:r>
    </w:p>
    <w:p>
      <w:pPr>
        <w:pStyle w:val="Normal"/>
        <w:jc w:val="left"/>
        <w:rPr>
          <w:sz w:val="24"/>
        </w:rPr>
      </w:pPr>
      <w:r>
        <w:rPr>
          <w:sz w:val="24"/>
        </w:rPr>
        <w:t>c. Clarify what kind of assumptions there is behind the advocacy of nudging policies.</w:t>
      </w:r>
    </w:p>
    <w:p>
      <w:pPr>
        <w:pStyle w:val="Normal"/>
        <w:jc w:val="left"/>
        <w:rPr>
          <w:sz w:val="24"/>
        </w:rPr>
      </w:pPr>
      <w:r>
        <w:rPr/>
      </w:r>
    </w:p>
    <w:p>
      <w:pPr>
        <w:pStyle w:val="Normal"/>
        <w:jc w:val="left"/>
        <w:rPr>
          <w:b/>
          <w:b/>
          <w:sz w:val="24"/>
        </w:rPr>
      </w:pPr>
      <w:r>
        <w:rPr>
          <w:sz w:val="24"/>
        </w:rPr>
        <w:t>Required reading</w:t>
      </w:r>
    </w:p>
    <w:p>
      <w:pPr>
        <w:pStyle w:val="Normal"/>
        <w:jc w:val="left"/>
        <w:rPr>
          <w:sz w:val="24"/>
        </w:rPr>
      </w:pPr>
      <w:r>
        <w:rPr>
          <w:sz w:val="24"/>
        </w:rPr>
        <w:t xml:space="preserve">Thaler and Sunstein, </w:t>
      </w:r>
      <w:r>
        <w:rPr>
          <w:i/>
          <w:iCs/>
          <w:sz w:val="24"/>
        </w:rPr>
        <w:t>Nudge</w:t>
      </w:r>
      <w:r>
        <w:rPr>
          <w:sz w:val="24"/>
        </w:rPr>
        <w:t xml:space="preserve"> (2008), chs. 1, 4, and 15 </w:t>
      </w:r>
    </w:p>
    <w:p>
      <w:pPr>
        <w:pStyle w:val="Normal"/>
        <w:jc w:val="left"/>
        <w:rPr>
          <w:sz w:val="24"/>
        </w:rPr>
      </w:pPr>
      <w:r>
        <w:rPr>
          <w:sz w:val="24"/>
        </w:rPr>
        <w:t xml:space="preserve">Saghai, S. ‘Salvaging the concept of nudge’, J Med Ethics (2013) 39: 487-493 </w:t>
      </w:r>
    </w:p>
    <w:p>
      <w:pPr>
        <w:pStyle w:val="Normal"/>
        <w:jc w:val="left"/>
        <w:rPr>
          <w:sz w:val="24"/>
        </w:rPr>
      </w:pPr>
      <w:r>
        <w:rPr>
          <w:sz w:val="24"/>
        </w:rPr>
      </w:r>
    </w:p>
    <w:p>
      <w:pPr>
        <w:pStyle w:val="Normal"/>
        <w:jc w:val="left"/>
        <w:rPr>
          <w:sz w:val="24"/>
        </w:rPr>
      </w:pPr>
      <w:r>
        <w:rPr>
          <w:sz w:val="24"/>
        </w:rPr>
        <w:t>Further reading:</w:t>
      </w:r>
    </w:p>
    <w:p>
      <w:pPr>
        <w:pStyle w:val="Normal"/>
        <w:jc w:val="left"/>
        <w:rPr>
          <w:color w:val="000000"/>
          <w:sz w:val="24"/>
          <w:highlight w:val="white"/>
        </w:rPr>
      </w:pPr>
      <w:r>
        <w:rPr>
          <w:color w:val="000000"/>
          <w:sz w:val="24"/>
          <w:shd w:fill="FFFFFF" w:val="clear"/>
        </w:rPr>
        <w:t xml:space="preserve">Gigerenzer, G. (2015). On the Supposed Evidence for Libertarian Paternalism. </w:t>
      </w:r>
      <w:r>
        <w:rPr>
          <w:i/>
          <w:color w:val="000000"/>
          <w:sz w:val="24"/>
          <w:shd w:fill="FFFFFF" w:val="clear"/>
        </w:rPr>
        <w:t>Review of Philosophy and Psychology</w:t>
      </w:r>
      <w:r>
        <w:rPr>
          <w:color w:val="000000"/>
          <w:sz w:val="24"/>
          <w:shd w:fill="FFFFFF" w:val="clear"/>
        </w:rPr>
        <w:t>, 1-23.</w:t>
      </w:r>
    </w:p>
    <w:p>
      <w:pPr>
        <w:pStyle w:val="Normal"/>
        <w:jc w:val="left"/>
        <w:rPr>
          <w:sz w:val="24"/>
          <w:lang w:val="en-US"/>
        </w:rPr>
      </w:pPr>
      <w:r>
        <w:rPr>
          <w:sz w:val="24"/>
          <w:lang w:val="en-US"/>
        </w:rPr>
        <w:t>Blumenthal-Barby, J.S. (2013) Chapter 9: Choice Architecture: A mechanism for improving decisions while preserving liberty?, in Paternalism: Theory and Practice.</w:t>
      </w:r>
    </w:p>
    <w:p>
      <w:pPr>
        <w:pStyle w:val="Normal"/>
        <w:jc w:val="left"/>
        <w:rPr>
          <w:sz w:val="24"/>
          <w:lang w:val="en-US"/>
        </w:rPr>
      </w:pPr>
      <w:r>
        <w:rPr>
          <w:sz w:val="24"/>
          <w:lang w:val="en-US"/>
        </w:rPr>
      </w:r>
    </w:p>
    <w:p>
      <w:pPr>
        <w:pStyle w:val="Normal"/>
        <w:jc w:val="left"/>
        <w:rPr/>
      </w:pPr>
      <w:r>
        <w:rPr>
          <w:sz w:val="24"/>
          <w:lang w:val="en-US"/>
        </w:rPr>
        <w:t xml:space="preserve">Sunstein, C. </w:t>
      </w:r>
      <w:r>
        <w:rPr>
          <w:i/>
          <w:sz w:val="24"/>
          <w:lang w:val="en-US"/>
        </w:rPr>
        <w:t>Why Nudge?</w:t>
      </w:r>
    </w:p>
    <w:p>
      <w:pPr>
        <w:pStyle w:val="Normal"/>
        <w:jc w:val="left"/>
        <w:rPr>
          <w:color w:val="000000" w:themeColor="text1"/>
          <w:sz w:val="24"/>
        </w:rPr>
      </w:pPr>
      <w:r>
        <w:rPr/>
      </w:r>
    </w:p>
    <w:p>
      <w:pPr>
        <w:pStyle w:val="Normal"/>
        <w:jc w:val="left"/>
        <w:rPr>
          <w:sz w:val="24"/>
        </w:rPr>
      </w:pPr>
      <w:r>
        <w:rPr>
          <w:sz w:val="24"/>
        </w:rPr>
      </w:r>
    </w:p>
    <w:p>
      <w:pPr>
        <w:pStyle w:val="ListParagraph"/>
        <w:numPr>
          <w:ilvl w:val="0"/>
          <w:numId w:val="1"/>
        </w:numPr>
        <w:jc w:val="left"/>
        <w:rPr/>
      </w:pPr>
      <w:r>
        <w:rPr>
          <w:b/>
          <w:sz w:val="24"/>
        </w:rPr>
        <w:t>Nudging against procrastination</w:t>
      </w:r>
    </w:p>
    <w:p>
      <w:pPr>
        <w:pStyle w:val="Normal"/>
        <w:rPr>
          <w:sz w:val="24"/>
        </w:rPr>
      </w:pPr>
      <w:r>
        <w:rPr>
          <w:sz w:val="24"/>
        </w:rPr>
        <w:t>The first part of the session will be dedicated to analysing time inconsistent choices, their psychological basis and the way to nudge against them. Key notions include hyperbolic discounting, weakness of the will and meta-preferences.</w:t>
      </w:r>
    </w:p>
    <w:p>
      <w:pPr>
        <w:pStyle w:val="Normal"/>
        <w:jc w:val="left"/>
        <w:rPr>
          <w:sz w:val="24"/>
        </w:rPr>
      </w:pPr>
      <w:r>
        <w:rPr>
          <w:sz w:val="24"/>
        </w:rPr>
      </w:r>
    </w:p>
    <w:p>
      <w:pPr>
        <w:pStyle w:val="Normal"/>
        <w:jc w:val="left"/>
        <w:rPr>
          <w:sz w:val="24"/>
        </w:rPr>
      </w:pPr>
      <w:r>
        <w:rPr>
          <w:sz w:val="24"/>
        </w:rPr>
        <w:t>Required reading</w:t>
      </w:r>
    </w:p>
    <w:p>
      <w:pPr>
        <w:pStyle w:val="Normal"/>
        <w:ind w:firstLine="720"/>
        <w:jc w:val="left"/>
        <w:rPr>
          <w:sz w:val="24"/>
        </w:rPr>
      </w:pPr>
      <w:r>
        <w:rPr>
          <w:sz w:val="24"/>
        </w:rPr>
        <w:t xml:space="preserve">Elster, Jon (2000) </w:t>
      </w:r>
      <w:r>
        <w:rPr>
          <w:i/>
          <w:iCs/>
          <w:sz w:val="24"/>
        </w:rPr>
        <w:t>Ulysses Unbound</w:t>
      </w:r>
      <w:r>
        <w:rPr>
          <w:sz w:val="24"/>
        </w:rPr>
        <w:t xml:space="preserve"> Chapter 1 (until p. 33.)</w:t>
      </w:r>
    </w:p>
    <w:p>
      <w:pPr>
        <w:pStyle w:val="Normal"/>
        <w:ind w:left="720" w:hanging="0"/>
        <w:jc w:val="left"/>
        <w:rPr>
          <w:sz w:val="24"/>
        </w:rPr>
      </w:pPr>
      <w:r>
        <w:rPr>
          <w:sz w:val="24"/>
        </w:rPr>
        <w:t xml:space="preserve">Schrift, R. Y., &amp; Parker, J. R. (2014). Staying the Course: The Option of Doing Nothing and Its Impact on Postchoice Persistence. </w:t>
      </w:r>
      <w:r>
        <w:rPr>
          <w:i/>
          <w:iCs/>
          <w:sz w:val="24"/>
        </w:rPr>
        <w:t>Psychological Science</w:t>
      </w:r>
      <w:r>
        <w:rPr>
          <w:sz w:val="24"/>
        </w:rPr>
        <w:t>.</w:t>
      </w:r>
    </w:p>
    <w:p>
      <w:pPr>
        <w:pStyle w:val="Normal"/>
        <w:jc w:val="left"/>
        <w:rPr>
          <w:sz w:val="24"/>
        </w:rPr>
      </w:pPr>
      <w:r>
        <w:rPr>
          <w:sz w:val="24"/>
        </w:rPr>
        <w:t>Further reading</w:t>
      </w:r>
    </w:p>
    <w:p>
      <w:pPr>
        <w:pStyle w:val="Normal"/>
        <w:ind w:firstLine="720"/>
        <w:jc w:val="left"/>
        <w:rPr>
          <w:sz w:val="24"/>
        </w:rPr>
      </w:pPr>
      <w:r>
        <w:rPr>
          <w:sz w:val="24"/>
        </w:rPr>
        <w:t xml:space="preserve">Ariely, Dan (2008) </w:t>
      </w:r>
      <w:r>
        <w:rPr>
          <w:i/>
          <w:iCs/>
          <w:sz w:val="24"/>
        </w:rPr>
        <w:t xml:space="preserve">Predictably Irrational </w:t>
      </w:r>
      <w:r>
        <w:rPr>
          <w:sz w:val="24"/>
        </w:rPr>
        <w:t xml:space="preserve"> Chapter 7</w:t>
      </w:r>
    </w:p>
    <w:p>
      <w:pPr>
        <w:pStyle w:val="Normal"/>
        <w:ind w:firstLine="720"/>
        <w:jc w:val="left"/>
        <w:rPr>
          <w:sz w:val="24"/>
        </w:rPr>
      </w:pPr>
      <w:r>
        <w:rPr>
          <w:sz w:val="24"/>
        </w:rPr>
      </w:r>
    </w:p>
    <w:p>
      <w:pPr>
        <w:pStyle w:val="Normal"/>
        <w:jc w:val="left"/>
        <w:rPr>
          <w:sz w:val="24"/>
        </w:rPr>
      </w:pPr>
      <w:r>
        <w:rPr/>
      </w:r>
    </w:p>
    <w:p>
      <w:pPr>
        <w:pStyle w:val="Normal"/>
        <w:jc w:val="left"/>
        <w:rPr>
          <w:sz w:val="24"/>
        </w:rPr>
      </w:pPr>
      <w:r>
        <w:rPr/>
      </w:r>
    </w:p>
    <w:p>
      <w:pPr>
        <w:pStyle w:val="ListParagraph"/>
        <w:numPr>
          <w:ilvl w:val="0"/>
          <w:numId w:val="1"/>
        </w:numPr>
        <w:jc w:val="left"/>
        <w:rPr/>
      </w:pPr>
      <w:r>
        <w:rPr>
          <w:rFonts w:eastAsia="Times New Roman" w:cs="Times New Roman"/>
          <w:b/>
          <w:sz w:val="24"/>
          <w:lang w:val="en-GB"/>
        </w:rPr>
        <w:t>Paternalism</w:t>
      </w:r>
      <w:r>
        <w:rPr>
          <w:rFonts w:eastAsia="Times New Roman" w:cs="Times New Roman"/>
          <w:b/>
          <w:bCs/>
          <w:sz w:val="24"/>
          <w:lang w:val="en-GB"/>
        </w:rPr>
        <w:t xml:space="preserve">: </w:t>
      </w:r>
      <w:r>
        <w:rPr>
          <w:rFonts w:eastAsia="Times New Roman" w:cs="Times New Roman"/>
          <w:b/>
          <w:bCs/>
          <w:sz w:val="24"/>
          <w:lang w:val="en-GB"/>
        </w:rPr>
        <w:t>useful distinctions and moral issues</w:t>
      </w:r>
    </w:p>
    <w:p>
      <w:pPr>
        <w:pStyle w:val="Normal"/>
        <w:jc w:val="left"/>
        <w:rPr>
          <w:rFonts w:eastAsia="Cambria" w:eastAsiaTheme="minorHAnsi"/>
          <w:sz w:val="24"/>
        </w:rPr>
      </w:pPr>
      <w:r>
        <w:rPr/>
      </w:r>
    </w:p>
    <w:p>
      <w:pPr>
        <w:pStyle w:val="Normal"/>
        <w:jc w:val="left"/>
        <w:rPr/>
      </w:pPr>
      <w:r>
        <w:rPr>
          <w:rFonts w:eastAsia="Cambria" w:eastAsiaTheme="minorHAnsi"/>
          <w:sz w:val="24"/>
        </w:rPr>
        <w:t>Required reading:</w:t>
      </w:r>
    </w:p>
    <w:p>
      <w:pPr>
        <w:pStyle w:val="Normal"/>
        <w:jc w:val="left"/>
        <w:rPr/>
      </w:pPr>
      <w:r>
        <w:rPr>
          <w:rFonts w:eastAsia="Cambria" w:eastAsiaTheme="minorHAnsi"/>
          <w:sz w:val="24"/>
        </w:rPr>
        <w:t xml:space="preserve">Legrand and New. </w:t>
      </w:r>
      <w:r>
        <w:rPr>
          <w:rFonts w:eastAsia="Cambria" w:eastAsiaTheme="minorHAnsi"/>
          <w:i/>
          <w:sz w:val="24"/>
        </w:rPr>
        <w:t>Government Paternalism</w:t>
      </w:r>
      <w:r>
        <w:rPr>
          <w:rFonts w:eastAsia="Cambria" w:eastAsiaTheme="minorHAnsi"/>
          <w:sz w:val="24"/>
        </w:rPr>
        <w:t>, Chs. 2-3</w:t>
      </w:r>
    </w:p>
    <w:p>
      <w:pPr>
        <w:pStyle w:val="Normal"/>
        <w:jc w:val="left"/>
        <w:rPr>
          <w:rFonts w:eastAsia="Cambria" w:eastAsiaTheme="minorHAnsi"/>
          <w:sz w:val="24"/>
        </w:rPr>
      </w:pPr>
      <w:r>
        <w:rPr>
          <w:rFonts w:eastAsia="Cambria" w:eastAsiaTheme="minorHAnsi"/>
          <w:sz w:val="24"/>
        </w:rPr>
      </w:r>
    </w:p>
    <w:p>
      <w:pPr>
        <w:pStyle w:val="Normal"/>
        <w:jc w:val="left"/>
        <w:rPr>
          <w:rFonts w:ascii="Times New Roman" w:hAnsi="Times New Roman" w:eastAsia="Cambria" w:cs="Times New Roman" w:eastAsiaTheme="minorHAnsi"/>
          <w:sz w:val="24"/>
          <w:lang w:val="en-GB"/>
        </w:rPr>
      </w:pPr>
      <w:r>
        <w:rPr>
          <w:rFonts w:eastAsia="Cambria" w:cs="Times New Roman" w:eastAsiaTheme="minorHAnsi"/>
          <w:sz w:val="24"/>
          <w:lang w:val="en-GB"/>
        </w:rPr>
        <w:t>Further readings:</w:t>
      </w:r>
    </w:p>
    <w:p>
      <w:pPr>
        <w:pStyle w:val="Normal"/>
        <w:jc w:val="left"/>
        <w:rPr/>
      </w:pPr>
      <w:r>
        <w:rPr>
          <w:rFonts w:eastAsia="Cambria" w:cs="Times New Roman" w:eastAsiaTheme="minorHAnsi"/>
          <w:color w:val="000000"/>
          <w:sz w:val="24"/>
          <w:highlight w:val="white"/>
          <w:lang w:val="en-GB"/>
        </w:rPr>
        <w:t>Dworkin, Gerald, "Paternalism",</w:t>
      </w:r>
      <w:r>
        <w:rPr>
          <w:rStyle w:val="Appleconvertedspace"/>
          <w:rFonts w:eastAsia="Cambria" w:cs="Times New Roman" w:eastAsiaTheme="minorHAnsi"/>
          <w:color w:val="000000"/>
          <w:sz w:val="24"/>
          <w:highlight w:val="white"/>
          <w:lang w:val="en-GB"/>
        </w:rPr>
        <w:t> </w:t>
      </w:r>
      <w:r>
        <w:rPr>
          <w:rStyle w:val="Emphasis"/>
          <w:rFonts w:eastAsia="Cambria" w:cs="Times New Roman" w:eastAsiaTheme="minorHAnsi"/>
          <w:color w:val="000000"/>
          <w:sz w:val="24"/>
          <w:highlight w:val="white"/>
          <w:lang w:val="en-GB"/>
        </w:rPr>
        <w:t>The Stanford Encyclopedia of Philosophy</w:t>
      </w:r>
      <w:r>
        <w:rPr>
          <w:rFonts w:eastAsia="Cambria" w:cs="Times New Roman" w:eastAsiaTheme="minorHAnsi"/>
          <w:color w:val="000000"/>
          <w:sz w:val="24"/>
          <w:highlight w:val="white"/>
          <w:lang w:val="en-GB"/>
        </w:rPr>
        <w:t xml:space="preserve"> &lt;</w:t>
      </w:r>
      <w:hyperlink r:id="rId3">
        <w:r>
          <w:rPr>
            <w:rStyle w:val="InternetLink"/>
            <w:rFonts w:eastAsia="Cambria" w:cs="Times New Roman" w:eastAsiaTheme="minorHAnsi"/>
            <w:color w:val="000000"/>
            <w:sz w:val="24"/>
            <w:highlight w:val="white"/>
            <w:lang w:val="en-GB"/>
          </w:rPr>
          <w:t>http://plato.stanford.edu/archives/sum2010/entries/paternalism/</w:t>
        </w:r>
      </w:hyperlink>
      <w:r>
        <w:rPr>
          <w:rFonts w:eastAsia="Cambria" w:cs="Times New Roman" w:eastAsiaTheme="minorHAnsi"/>
          <w:color w:val="000000"/>
          <w:sz w:val="24"/>
          <w:highlight w:val="white"/>
          <w:lang w:val="en-GB"/>
        </w:rPr>
        <w:t>&gt;</w:t>
      </w:r>
    </w:p>
    <w:p>
      <w:pPr>
        <w:pStyle w:val="Normal"/>
        <w:jc w:val="left"/>
        <w:rPr>
          <w:rFonts w:ascii="Times New Roman" w:hAnsi="Times New Roman" w:eastAsia="Cambria" w:cs="Times New Roman" w:eastAsiaTheme="minorHAnsi"/>
          <w:sz w:val="24"/>
          <w:lang w:val="en-GB"/>
        </w:rPr>
      </w:pPr>
      <w:r>
        <w:rPr>
          <w:rFonts w:eastAsia="Cambria" w:cs="Times New Roman" w:eastAsiaTheme="minorHAnsi"/>
          <w:sz w:val="24"/>
          <w:lang w:val="en-GB"/>
        </w:rPr>
      </w:r>
    </w:p>
    <w:p>
      <w:pPr>
        <w:pStyle w:val="Normal"/>
        <w:jc w:val="left"/>
        <w:rPr>
          <w:rFonts w:ascii="Times New Roman" w:hAnsi="Times New Roman" w:eastAsia="Cambria" w:cs="Times New Roman" w:eastAsiaTheme="minorHAnsi"/>
          <w:sz w:val="24"/>
          <w:lang w:val="en-GB"/>
        </w:rPr>
      </w:pPr>
      <w:r>
        <w:rPr>
          <w:rFonts w:eastAsia="Cambria" w:cs="Times New Roman" w:eastAsiaTheme="minorHAnsi"/>
          <w:color w:val="000000"/>
          <w:sz w:val="24"/>
          <w:highlight w:val="white"/>
          <w:lang w:val="en-GB"/>
        </w:rPr>
        <w:t xml:space="preserve">Waldron, J. ‘Theoretical Foundations of Liberalism’ in his </w:t>
      </w:r>
      <w:r>
        <w:rPr>
          <w:rFonts w:eastAsia="Cambria" w:cs="Times New Roman" w:eastAsiaTheme="minorHAnsi"/>
          <w:i/>
          <w:color w:val="000000"/>
          <w:sz w:val="24"/>
          <w:highlight w:val="white"/>
          <w:lang w:val="en-GB"/>
        </w:rPr>
        <w:t>Liberal rights</w:t>
      </w:r>
      <w:r>
        <w:rPr>
          <w:rFonts w:eastAsia="Cambria" w:cs="Times New Roman" w:eastAsiaTheme="minorHAnsi"/>
          <w:color w:val="000000"/>
          <w:sz w:val="24"/>
          <w:highlight w:val="white"/>
          <w:lang w:val="en-GB"/>
        </w:rPr>
        <w:t>, CUP, 1984</w:t>
      </w:r>
    </w:p>
    <w:p>
      <w:pPr>
        <w:pStyle w:val="Normal"/>
        <w:jc w:val="left"/>
        <w:rPr>
          <w:color w:val="000000"/>
          <w:highlight w:val="white"/>
        </w:rPr>
      </w:pPr>
      <w:r>
        <w:rPr>
          <w:rFonts w:eastAsia="Cambria" w:cs="Times New Roman" w:eastAsiaTheme="minorHAnsi"/>
          <w:sz w:val="24"/>
          <w:lang w:val="en-GB"/>
        </w:rPr>
      </w:r>
    </w:p>
    <w:p>
      <w:pPr>
        <w:pStyle w:val="Normal"/>
        <w:jc w:val="left"/>
        <w:rPr/>
      </w:pPr>
      <w:r>
        <w:rPr>
          <w:rFonts w:eastAsia="Cambria" w:cs="Times New Roman" w:eastAsiaTheme="minorHAnsi"/>
          <w:color w:val="1A1A1A"/>
          <w:sz w:val="24"/>
          <w:lang w:val="en-GB"/>
        </w:rPr>
        <w:t xml:space="preserve">Christman, John, "Autonomy in Moral and Political Philosophy", </w:t>
      </w:r>
      <w:r>
        <w:rPr>
          <w:rStyle w:val="Emphasis"/>
          <w:rFonts w:eastAsia="Cambria" w:cs="Times New Roman" w:eastAsiaTheme="minorHAnsi"/>
          <w:color w:val="1A1A1A"/>
          <w:sz w:val="24"/>
          <w:lang w:val="en-GB"/>
        </w:rPr>
        <w:t xml:space="preserve">The Stanford Encyclopedia of Philosophy </w:t>
      </w:r>
      <w:r>
        <w:rPr>
          <w:rFonts w:eastAsia="Cambria" w:cs="Times New Roman" w:eastAsiaTheme="minorHAnsi"/>
          <w:color w:val="1A1A1A"/>
          <w:sz w:val="24"/>
          <w:lang w:val="en-GB"/>
        </w:rPr>
        <w:t>&lt;</w:t>
      </w:r>
      <w:hyperlink r:id="rId4">
        <w:r>
          <w:rPr>
            <w:rStyle w:val="InternetLink"/>
            <w:rFonts w:eastAsia="Cambria" w:cs="Times New Roman" w:eastAsiaTheme="minorHAnsi"/>
            <w:color w:val="1A1A1A"/>
            <w:sz w:val="24"/>
            <w:lang w:val="en-GB"/>
          </w:rPr>
          <w:t>http://plato.stanford.edu/archives/spr2015/entries/autonomy-moral/</w:t>
        </w:r>
      </w:hyperlink>
      <w:hyperlink r:id="rId5">
        <w:r>
          <w:rPr>
            <w:rFonts w:eastAsia="Cambria" w:cs="Times New Roman" w:eastAsiaTheme="minorHAnsi"/>
            <w:color w:val="1A1A1A"/>
            <w:sz w:val="24"/>
            <w:lang w:val="en-GB"/>
          </w:rPr>
          <w:t>&gt;</w:t>
        </w:r>
      </w:hyperlink>
    </w:p>
    <w:p>
      <w:pPr>
        <w:pStyle w:val="Normal"/>
        <w:jc w:val="left"/>
        <w:rPr>
          <w:rFonts w:ascii="Times New Roman" w:hAnsi="Times New Roman" w:eastAsia="Cambria" w:cs="Times New Roman" w:eastAsiaTheme="minorHAnsi"/>
          <w:sz w:val="24"/>
          <w:lang w:val="en-GB"/>
        </w:rPr>
      </w:pPr>
      <w:r>
        <w:rPr>
          <w:rFonts w:eastAsia="Cambria" w:cs="Times New Roman" w:eastAsiaTheme="minorHAnsi"/>
          <w:sz w:val="24"/>
          <w:lang w:val="en-GB"/>
        </w:rPr>
      </w:r>
    </w:p>
    <w:p>
      <w:pPr>
        <w:pStyle w:val="Normal"/>
        <w:jc w:val="left"/>
        <w:rPr>
          <w:rFonts w:ascii="Times New Roman" w:hAnsi="Times New Roman" w:eastAsia="Cambria" w:cs="Times New Roman" w:eastAsiaTheme="minorHAnsi"/>
          <w:sz w:val="24"/>
          <w:lang w:val="en-GB"/>
        </w:rPr>
      </w:pPr>
      <w:r>
        <w:rPr>
          <w:rFonts w:eastAsia="Cambria" w:cs="Times New Roman" w:eastAsiaTheme="minorHAnsi"/>
          <w:color w:val="000000"/>
          <w:sz w:val="24"/>
          <w:highlight w:val="white"/>
          <w:lang w:val="en-GB"/>
        </w:rPr>
        <w:t xml:space="preserve">Raz, J. </w:t>
      </w:r>
      <w:r>
        <w:rPr>
          <w:rFonts w:eastAsia="Cambria" w:cs="Times New Roman" w:eastAsiaTheme="minorHAnsi"/>
          <w:i/>
          <w:iCs/>
          <w:color w:val="000000"/>
          <w:sz w:val="24"/>
          <w:highlight w:val="white"/>
          <w:lang w:val="en-GB"/>
        </w:rPr>
        <w:t>The Morality of Freedom</w:t>
      </w:r>
      <w:r>
        <w:rPr>
          <w:rFonts w:eastAsia="Cambria" w:cs="Times New Roman" w:eastAsiaTheme="minorHAnsi"/>
          <w:color w:val="000000"/>
          <w:sz w:val="24"/>
          <w:highlight w:val="white"/>
          <w:lang w:val="en-GB"/>
        </w:rPr>
        <w:t>, Ch. 14.</w:t>
      </w:r>
    </w:p>
    <w:p>
      <w:pPr>
        <w:pStyle w:val="Normal"/>
        <w:jc w:val="left"/>
        <w:rPr>
          <w:rFonts w:ascii="Times New Roman" w:hAnsi="Times New Roman" w:eastAsia="Cambria" w:cs="Times New Roman" w:eastAsiaTheme="minorHAnsi"/>
          <w:b w:val="false"/>
          <w:b w:val="false"/>
          <w:bCs w:val="false"/>
          <w:sz w:val="24"/>
          <w:lang w:val="en-GB"/>
        </w:rPr>
      </w:pPr>
      <w:r>
        <w:rPr>
          <w:rFonts w:eastAsia="Cambria" w:cs="Times New Roman" w:eastAsiaTheme="minorHAnsi"/>
          <w:b w:val="false"/>
          <w:bCs w:val="false"/>
          <w:sz w:val="24"/>
          <w:lang w:val="en-GB"/>
        </w:rPr>
      </w:r>
    </w:p>
    <w:p>
      <w:pPr>
        <w:pStyle w:val="Normal"/>
        <w:jc w:val="left"/>
        <w:rPr/>
      </w:pPr>
      <w:r>
        <w:rPr>
          <w:rFonts w:eastAsia="Cambria" w:cs="Times New Roman" w:eastAsiaTheme="minorHAnsi"/>
          <w:b w:val="false"/>
          <w:bCs w:val="false"/>
          <w:color w:val="000000"/>
          <w:sz w:val="24"/>
          <w:highlight w:val="white"/>
          <w:lang w:val="en-GB"/>
        </w:rPr>
        <w:t xml:space="preserve">Noggle, Robert (1996). Manipulative Actions: A Conceptual and Moral Analysis. </w:t>
      </w:r>
      <w:r>
        <w:rPr>
          <w:rStyle w:val="Emphasis"/>
          <w:rFonts w:eastAsia="Cambria" w:cs="Times New Roman" w:eastAsiaTheme="minorHAnsi"/>
          <w:b w:val="false"/>
          <w:bCs w:val="false"/>
          <w:color w:val="000000"/>
          <w:sz w:val="24"/>
          <w:highlight w:val="white"/>
          <w:lang w:val="en-GB"/>
        </w:rPr>
        <w:t xml:space="preserve">American Philosophical Quarterly </w:t>
      </w:r>
      <w:r>
        <w:rPr>
          <w:rFonts w:eastAsia="Cambria" w:cs="Times New Roman" w:eastAsiaTheme="minorHAnsi"/>
          <w:b w:val="false"/>
          <w:bCs w:val="false"/>
          <w:color w:val="000000"/>
          <w:sz w:val="24"/>
          <w:highlight w:val="white"/>
          <w:lang w:val="en-GB"/>
        </w:rPr>
        <w:t>33 (1):43 - 55.</w:t>
      </w:r>
    </w:p>
    <w:p>
      <w:pPr>
        <w:pStyle w:val="Normal"/>
        <w:jc w:val="left"/>
        <w:rPr>
          <w:sz w:val="24"/>
        </w:rPr>
      </w:pPr>
      <w:r>
        <w:rPr/>
      </w:r>
    </w:p>
    <w:p>
      <w:pPr>
        <w:pStyle w:val="Normal"/>
        <w:jc w:val="left"/>
        <w:rPr>
          <w:sz w:val="24"/>
        </w:rPr>
      </w:pPr>
      <w:r>
        <w:rPr>
          <w:sz w:val="24"/>
        </w:rPr>
      </w:r>
    </w:p>
    <w:p>
      <w:pPr>
        <w:pStyle w:val="ListParagraph"/>
        <w:numPr>
          <w:ilvl w:val="0"/>
          <w:numId w:val="1"/>
        </w:numPr>
        <w:jc w:val="left"/>
        <w:rPr/>
      </w:pPr>
      <w:r>
        <w:rPr>
          <w:b/>
          <w:sz w:val="24"/>
        </w:rPr>
        <w:t>M</w:t>
      </w:r>
      <w:r>
        <w:rPr>
          <w:b/>
          <w:sz w:val="24"/>
        </w:rPr>
        <w:t>edical paternalism</w:t>
      </w:r>
    </w:p>
    <w:p>
      <w:pPr>
        <w:pStyle w:val="Normal"/>
        <w:jc w:val="left"/>
        <w:rPr/>
      </w:pPr>
      <w:r>
        <w:rPr>
          <w:sz w:val="24"/>
        </w:rPr>
        <w:t>In the second part about nudging in the medical domain.</w:t>
      </w:r>
    </w:p>
    <w:p>
      <w:pPr>
        <w:pStyle w:val="Normal"/>
        <w:jc w:val="left"/>
        <w:rPr>
          <w:b/>
          <w:b/>
          <w:sz w:val="24"/>
        </w:rPr>
      </w:pPr>
      <w:r>
        <w:rPr>
          <w:b/>
          <w:sz w:val="24"/>
        </w:rPr>
      </w:r>
    </w:p>
    <w:p>
      <w:pPr>
        <w:pStyle w:val="Normal"/>
        <w:jc w:val="left"/>
        <w:rPr>
          <w:b/>
          <w:b/>
          <w:sz w:val="24"/>
        </w:rPr>
      </w:pPr>
      <w:r>
        <w:rPr>
          <w:b/>
          <w:sz w:val="24"/>
        </w:rPr>
        <w:t>Required readings</w:t>
      </w:r>
    </w:p>
    <w:p>
      <w:pPr>
        <w:pStyle w:val="Normal"/>
        <w:jc w:val="left"/>
        <w:rPr>
          <w:sz w:val="24"/>
        </w:rPr>
      </w:pPr>
      <w:r>
        <w:rPr>
          <w:sz w:val="24"/>
        </w:rPr>
        <w:t xml:space="preserve">Bullock, E. C. (2014) Free Choice and Patient Best Interests,  </w:t>
      </w:r>
      <w:r>
        <w:rPr>
          <w:i/>
          <w:sz w:val="24"/>
        </w:rPr>
        <w:t>Health Care Analysis</w:t>
      </w:r>
      <w:r>
        <w:rPr>
          <w:sz w:val="24"/>
        </w:rPr>
        <w:t xml:space="preserve"> (Online).</w:t>
      </w:r>
    </w:p>
    <w:p>
      <w:pPr>
        <w:pStyle w:val="Normal"/>
        <w:jc w:val="left"/>
        <w:rPr>
          <w:sz w:val="24"/>
        </w:rPr>
      </w:pPr>
      <w:r>
        <w:rPr>
          <w:sz w:val="24"/>
        </w:rPr>
        <w:t xml:space="preserve">Cohen, S. (2013) Nudging and Informed Consent. </w:t>
      </w:r>
      <w:r>
        <w:rPr>
          <w:i/>
          <w:sz w:val="24"/>
        </w:rPr>
        <w:t>The American Journal of Bioethics</w:t>
      </w:r>
      <w:r>
        <w:rPr>
          <w:sz w:val="24"/>
        </w:rPr>
        <w:t>. 13, 6: 3-11.</w:t>
      </w:r>
    </w:p>
    <w:p>
      <w:pPr>
        <w:pStyle w:val="Normal"/>
        <w:jc w:val="left"/>
        <w:rPr>
          <w:sz w:val="24"/>
        </w:rPr>
      </w:pPr>
      <w:r>
        <w:rPr>
          <w:sz w:val="24"/>
        </w:rPr>
        <w:t>Blumenthal-Barby, J.S., McCullough, L.B., Krieger H., and Coverdale, J. (2013) ‘Methods of Influencing the Decisions of Psychiatric Patients: An Ethical Analysis’</w:t>
      </w:r>
    </w:p>
    <w:p>
      <w:pPr>
        <w:pStyle w:val="Normal"/>
        <w:jc w:val="left"/>
        <w:rPr>
          <w:sz w:val="24"/>
        </w:rPr>
      </w:pPr>
      <w:r>
        <w:rPr>
          <w:sz w:val="24"/>
        </w:rPr>
      </w:r>
    </w:p>
    <w:p>
      <w:pPr>
        <w:pStyle w:val="Normal"/>
        <w:jc w:val="left"/>
        <w:rPr>
          <w:b/>
          <w:b/>
          <w:sz w:val="24"/>
        </w:rPr>
      </w:pPr>
      <w:r>
        <w:rPr>
          <w:b/>
          <w:sz w:val="24"/>
        </w:rPr>
        <w:t>Further reading:</w:t>
      </w:r>
    </w:p>
    <w:p>
      <w:pPr>
        <w:pStyle w:val="Normal"/>
        <w:jc w:val="left"/>
        <w:rPr>
          <w:rFonts w:eastAsia="Cambria" w:eastAsiaTheme="minorHAnsi"/>
          <w:sz w:val="24"/>
          <w:lang w:val="en-US"/>
        </w:rPr>
      </w:pPr>
      <w:r>
        <w:rPr>
          <w:rFonts w:eastAsia="Cambria" w:eastAsiaTheme="minorHAnsi"/>
          <w:sz w:val="24"/>
          <w:lang w:val="en-US"/>
        </w:rPr>
        <w:t>Lloyd, A. J. (2001). The extent of patients’ understanding of the risk of treatments. Quality in Health Care, 10.I, i14–i18.</w:t>
      </w:r>
    </w:p>
    <w:p>
      <w:pPr>
        <w:pStyle w:val="Normal"/>
        <w:jc w:val="left"/>
        <w:rPr>
          <w:rFonts w:eastAsia="Cambria" w:eastAsiaTheme="minorHAnsi"/>
          <w:sz w:val="24"/>
          <w:lang w:val="en-US"/>
        </w:rPr>
      </w:pPr>
      <w:r>
        <w:rPr>
          <w:rFonts w:eastAsia="Cambria" w:eastAsiaTheme="minorHAnsi"/>
          <w:sz w:val="24"/>
          <w:lang w:val="en-US"/>
        </w:rPr>
      </w:r>
    </w:p>
    <w:p>
      <w:pPr>
        <w:pStyle w:val="Normal"/>
        <w:jc w:val="left"/>
        <w:rPr>
          <w:rFonts w:eastAsia="Cambria" w:eastAsiaTheme="minorHAnsi"/>
          <w:sz w:val="24"/>
          <w:lang w:val="en-US"/>
        </w:rPr>
      </w:pPr>
      <w:r>
        <w:rPr>
          <w:rFonts w:eastAsia="Cambria" w:eastAsiaTheme="minorHAnsi"/>
          <w:sz w:val="24"/>
          <w:lang w:val="en-US"/>
        </w:rPr>
        <w:t>Miller, S. M., &amp;Mangan, C. E. (1983). Interacting effects of information and coping style in adapting togynaecologic stress: Should the doctor tell all? Journal of Personality and Social Psychology, 45(1), 223–236.</w:t>
      </w:r>
    </w:p>
    <w:p>
      <w:pPr>
        <w:pStyle w:val="Normal"/>
        <w:jc w:val="left"/>
        <w:rPr>
          <w:rFonts w:eastAsia="Cambria" w:eastAsiaTheme="minorHAnsi"/>
          <w:sz w:val="24"/>
          <w:lang w:val="en-US"/>
        </w:rPr>
      </w:pPr>
      <w:r>
        <w:rPr>
          <w:rFonts w:eastAsia="Cambria" w:eastAsiaTheme="minorHAnsi"/>
          <w:sz w:val="24"/>
          <w:lang w:val="en-US"/>
        </w:rPr>
      </w:r>
    </w:p>
    <w:p>
      <w:pPr>
        <w:pStyle w:val="Normal"/>
        <w:jc w:val="left"/>
        <w:rPr>
          <w:rFonts w:eastAsia="Cambria" w:eastAsiaTheme="minorHAnsi"/>
          <w:sz w:val="24"/>
          <w:lang w:val="en-US"/>
        </w:rPr>
      </w:pPr>
      <w:r>
        <w:rPr>
          <w:sz w:val="24"/>
        </w:rPr>
        <w:t xml:space="preserve">Sandman, Lars &amp;Munthe, Christian (2009). Shared decision-making and patient autonomy. </w:t>
      </w:r>
      <w:r>
        <w:rPr>
          <w:rStyle w:val="Emphasis"/>
          <w:sz w:val="24"/>
        </w:rPr>
        <w:t>Theoretical Medicine and Bioethics</w:t>
      </w:r>
      <w:r>
        <w:rPr>
          <w:sz w:val="24"/>
        </w:rPr>
        <w:t xml:space="preserve"> 30 (4):289-310.</w:t>
      </w:r>
    </w:p>
    <w:p>
      <w:pPr>
        <w:pStyle w:val="Normal"/>
        <w:jc w:val="left"/>
        <w:rPr>
          <w:rFonts w:eastAsia="Cambria" w:eastAsiaTheme="minorHAnsi"/>
          <w:sz w:val="24"/>
          <w:lang w:val="en-US"/>
        </w:rPr>
      </w:pPr>
      <w:r>
        <w:rPr>
          <w:rFonts w:eastAsia="Cambria" w:eastAsiaTheme="minorHAnsi"/>
          <w:sz w:val="24"/>
          <w:lang w:val="en-US"/>
        </w:rPr>
      </w:r>
    </w:p>
    <w:p>
      <w:pPr>
        <w:pStyle w:val="Normal"/>
        <w:jc w:val="left"/>
        <w:rPr>
          <w:rFonts w:eastAsia="Cambria" w:eastAsiaTheme="minorHAnsi"/>
          <w:sz w:val="24"/>
          <w:lang w:val="en-US"/>
        </w:rPr>
      </w:pPr>
      <w:r>
        <w:rPr>
          <w:rFonts w:eastAsia="Cambria" w:eastAsiaTheme="minorHAnsi"/>
          <w:sz w:val="24"/>
          <w:lang w:val="en-US"/>
        </w:rPr>
        <w:t>Strull, W., Lo, B., &amp; Charles, G. (1984). Do patients want to participate in medical decision making? JAMA, 252(21), 2990–2994</w:t>
      </w:r>
    </w:p>
    <w:p>
      <w:pPr>
        <w:pStyle w:val="Normal"/>
        <w:jc w:val="left"/>
        <w:rPr>
          <w:sz w:val="24"/>
        </w:rPr>
      </w:pPr>
      <w:r>
        <w:rPr>
          <w:sz w:val="24"/>
        </w:rPr>
      </w:r>
    </w:p>
    <w:p>
      <w:pPr>
        <w:pStyle w:val="Normal"/>
        <w:jc w:val="left"/>
        <w:rPr>
          <w:b/>
          <w:b/>
          <w:sz w:val="24"/>
        </w:rPr>
      </w:pPr>
      <w:r>
        <w:rPr>
          <w:b/>
          <w:sz w:val="24"/>
        </w:rPr>
      </w:r>
    </w:p>
    <w:p>
      <w:pPr>
        <w:pStyle w:val="ListParagraph"/>
        <w:numPr>
          <w:ilvl w:val="0"/>
          <w:numId w:val="1"/>
        </w:numPr>
        <w:jc w:val="left"/>
        <w:rPr/>
      </w:pPr>
      <w:r>
        <w:rPr>
          <w:b/>
          <w:sz w:val="24"/>
        </w:rPr>
        <w:t>Economic argument against nudging</w:t>
      </w:r>
    </w:p>
    <w:p>
      <w:pPr>
        <w:pStyle w:val="Normal"/>
        <w:jc w:val="left"/>
        <w:rPr>
          <w:sz w:val="24"/>
        </w:rPr>
      </w:pPr>
      <w:r>
        <w:rPr>
          <w:sz w:val="24"/>
        </w:rPr>
        <w:t>For economic reasons, policy makers should continue using the good old means, viz. changing incentives, and only those means. We'll look at these reasons and assess whether they are good indeed.</w:t>
      </w:r>
    </w:p>
    <w:p>
      <w:pPr>
        <w:pStyle w:val="Normal"/>
        <w:jc w:val="left"/>
        <w:rPr>
          <w:sz w:val="24"/>
        </w:rPr>
      </w:pPr>
      <w:r>
        <w:rPr>
          <w:sz w:val="24"/>
        </w:rPr>
      </w:r>
    </w:p>
    <w:p>
      <w:pPr>
        <w:pStyle w:val="Normal"/>
        <w:jc w:val="left"/>
        <w:rPr>
          <w:sz w:val="24"/>
        </w:rPr>
      </w:pPr>
      <w:r>
        <w:rPr>
          <w:sz w:val="24"/>
        </w:rPr>
        <w:t>Required reading:</w:t>
      </w:r>
    </w:p>
    <w:p>
      <w:pPr>
        <w:pStyle w:val="Normal"/>
        <w:jc w:val="left"/>
        <w:rPr/>
      </w:pPr>
      <w:r>
        <w:rPr>
          <w:sz w:val="24"/>
        </w:rPr>
        <w:t xml:space="preserve">G. Lowenstein and P. Ubel (2010) Economics Behaving Badly, New York Times. </w:t>
      </w:r>
      <w:hyperlink r:id="rId6">
        <w:r>
          <w:rPr>
            <w:rStyle w:val="InternetLink"/>
            <w:sz w:val="24"/>
          </w:rPr>
          <w:t>http://www.nytimes.com/2010/07/15/opinion/15loewenstein.html?_r=0</w:t>
        </w:r>
      </w:hyperlink>
    </w:p>
    <w:p>
      <w:pPr>
        <w:pStyle w:val="Normal"/>
        <w:ind w:left="720" w:firstLine="720"/>
        <w:jc w:val="left"/>
        <w:rPr>
          <w:b/>
          <w:b/>
          <w:sz w:val="24"/>
        </w:rPr>
      </w:pPr>
      <w:r>
        <w:rPr>
          <w:b/>
          <w:sz w:val="24"/>
        </w:rPr>
      </w:r>
    </w:p>
    <w:p>
      <w:pPr>
        <w:pStyle w:val="Normal"/>
        <w:jc w:val="left"/>
        <w:rPr>
          <w:sz w:val="24"/>
        </w:rPr>
      </w:pPr>
      <w:r>
        <w:rPr>
          <w:sz w:val="24"/>
        </w:rPr>
        <w:t xml:space="preserve">M.J. Rizzo and D.G. Whitman (2009) “The Knowledge Problem of New Paternalism,” </w:t>
      </w:r>
      <w:r>
        <w:rPr>
          <w:rStyle w:val="Emphasis"/>
          <w:sz w:val="24"/>
        </w:rPr>
        <w:t>BYU Law Review</w:t>
      </w:r>
      <w:r>
        <w:rPr>
          <w:sz w:val="24"/>
        </w:rPr>
        <w:t>. FROM PAGE 907 TO 912 AND FROM 960 TO 968.</w:t>
      </w:r>
    </w:p>
    <w:p>
      <w:pPr>
        <w:pStyle w:val="Normal"/>
        <w:jc w:val="left"/>
        <w:rPr>
          <w:sz w:val="24"/>
        </w:rPr>
      </w:pPr>
      <w:r>
        <w:rPr>
          <w:sz w:val="24"/>
        </w:rPr>
      </w:r>
    </w:p>
    <w:p>
      <w:pPr>
        <w:pStyle w:val="Normal"/>
        <w:rPr>
          <w:sz w:val="24"/>
        </w:rPr>
      </w:pPr>
      <w:r>
        <w:rPr>
          <w:sz w:val="24"/>
        </w:rPr>
      </w:r>
    </w:p>
    <w:p>
      <w:pPr>
        <w:pStyle w:val="ListParagraph"/>
        <w:numPr>
          <w:ilvl w:val="0"/>
          <w:numId w:val="1"/>
        </w:numPr>
        <w:jc w:val="left"/>
        <w:rPr/>
      </w:pPr>
      <w:r>
        <w:rPr>
          <w:b/>
          <w:bCs/>
          <w:sz w:val="24"/>
        </w:rPr>
        <w:t>Debate in moral philosophy: Is nudging intrinsically manipulative? Is it a practice that fail to respect citizens?</w:t>
      </w:r>
    </w:p>
    <w:p>
      <w:pPr>
        <w:pStyle w:val="Normal"/>
        <w:jc w:val="left"/>
        <w:rPr>
          <w:sz w:val="24"/>
        </w:rPr>
      </w:pPr>
      <w:r>
        <w:rPr/>
      </w:r>
    </w:p>
    <w:p>
      <w:pPr>
        <w:pStyle w:val="Normal"/>
        <w:jc w:val="left"/>
        <w:rPr>
          <w:sz w:val="24"/>
        </w:rPr>
      </w:pPr>
      <w:r>
        <w:rPr>
          <w:sz w:val="24"/>
        </w:rPr>
      </w:r>
    </w:p>
    <w:p>
      <w:pPr>
        <w:pStyle w:val="Normal"/>
        <w:jc w:val="left"/>
        <w:rPr/>
      </w:pPr>
      <w:r>
        <w:rPr>
          <w:sz w:val="24"/>
        </w:rPr>
        <w:t xml:space="preserve">Debate session: </w:t>
      </w:r>
    </w:p>
    <w:p>
      <w:pPr>
        <w:pStyle w:val="Normal"/>
        <w:jc w:val="left"/>
        <w:rPr/>
      </w:pPr>
      <w:r>
        <w:rPr>
          <w:sz w:val="24"/>
        </w:rPr>
        <w:t>Three teams will be constituted, which will defend one of the three following positions:</w:t>
      </w:r>
    </w:p>
    <w:p>
      <w:pPr>
        <w:pStyle w:val="Normal"/>
        <w:jc w:val="left"/>
        <w:rPr/>
      </w:pPr>
      <w:r>
        <w:rPr>
          <w:sz w:val="24"/>
        </w:rPr>
        <w:t>a. Respect is not a fundamental value. Nudging should be done in view of the cost and benefits that it brings to a population.</w:t>
      </w:r>
    </w:p>
    <w:p>
      <w:pPr>
        <w:pStyle w:val="Normal"/>
        <w:jc w:val="left"/>
        <w:rPr/>
      </w:pPr>
      <w:r>
        <w:rPr>
          <w:sz w:val="24"/>
        </w:rPr>
        <w:t>b. Nudging should be respectful, and there are some nudges that are indeed so.</w:t>
      </w:r>
    </w:p>
    <w:p>
      <w:pPr>
        <w:pStyle w:val="Normal"/>
        <w:jc w:val="left"/>
        <w:rPr/>
      </w:pPr>
      <w:r>
        <w:rPr>
          <w:sz w:val="24"/>
        </w:rPr>
        <w:t>c. Nudging is never truly respectful and should therefore be avoided.</w:t>
      </w:r>
    </w:p>
    <w:p>
      <w:pPr>
        <w:pStyle w:val="Normal"/>
        <w:jc w:val="left"/>
        <w:rPr/>
      </w:pPr>
      <w:r>
        <w:rPr>
          <w:sz w:val="24"/>
        </w:rPr>
        <w:t xml:space="preserve">Rules: students will be randomly assigned to one of the three groups. </w:t>
      </w:r>
    </w:p>
    <w:p>
      <w:pPr>
        <w:pStyle w:val="Normal"/>
        <w:jc w:val="left"/>
        <w:rPr/>
      </w:pPr>
      <w:r>
        <w:rPr>
          <w:sz w:val="24"/>
        </w:rPr>
        <w:t xml:space="preserve">Each of the group will first speak for 15 minutes; </w:t>
      </w:r>
    </w:p>
    <w:p>
      <w:pPr>
        <w:pStyle w:val="Normal"/>
        <w:jc w:val="left"/>
        <w:rPr/>
      </w:pPr>
      <w:r>
        <w:rPr>
          <w:sz w:val="24"/>
        </w:rPr>
        <w:t>10 minutes to prepare a reply, answering the opponents’ arguments</w:t>
      </w:r>
    </w:p>
    <w:p>
      <w:pPr>
        <w:pStyle w:val="Normal"/>
        <w:jc w:val="left"/>
        <w:rPr/>
      </w:pPr>
      <w:r>
        <w:rPr>
          <w:sz w:val="24"/>
        </w:rPr>
        <w:t xml:space="preserve">A reply of 10 minutes answering the opponents’ arguments; </w:t>
      </w:r>
    </w:p>
    <w:p>
      <w:pPr>
        <w:pStyle w:val="Normal"/>
        <w:jc w:val="left"/>
        <w:rPr/>
      </w:pPr>
      <w:r>
        <w:rPr>
          <w:sz w:val="24"/>
        </w:rPr>
        <w:t>5 minutes (unprepared) conclusions.</w:t>
      </w:r>
    </w:p>
    <w:p>
      <w:pPr>
        <w:pStyle w:val="Normal"/>
        <w:jc w:val="left"/>
        <w:rPr/>
      </w:pPr>
      <w:r>
        <w:rPr>
          <w:sz w:val="24"/>
        </w:rPr>
        <w:t>The jury will consist of Dr. Moles and Dr. Heintz. A prize will be given to the winner.</w:t>
      </w:r>
    </w:p>
    <w:p>
      <w:pPr>
        <w:pStyle w:val="Normal"/>
        <w:jc w:val="left"/>
        <w:rPr/>
      </w:pPr>
      <w:r>
        <w:rPr/>
      </w:r>
    </w:p>
    <w:p>
      <w:pPr>
        <w:pStyle w:val="Normal"/>
        <w:jc w:val="left"/>
        <w:rPr>
          <w:sz w:val="24"/>
        </w:rPr>
      </w:pPr>
      <w:r>
        <w:rPr>
          <w:rFonts w:eastAsia="Times New Roman" w:cs="Times New Roman"/>
          <w:sz w:val="24"/>
          <w:lang w:val="en-GB"/>
        </w:rPr>
        <w:t>Suggested readings:</w:t>
      </w:r>
    </w:p>
    <w:p>
      <w:pPr>
        <w:pStyle w:val="Normal"/>
        <w:jc w:val="left"/>
        <w:rPr>
          <w:sz w:val="24"/>
        </w:rPr>
      </w:pPr>
      <w:r>
        <w:rPr>
          <w:rFonts w:eastAsia="Times New Roman" w:cs="Times New Roman"/>
          <w:sz w:val="24"/>
          <w:lang w:val="en-GB"/>
        </w:rPr>
        <w:t>Quong 2010, ‘Patern</w:t>
      </w:r>
      <w:r>
        <w:rPr>
          <w:sz w:val="24"/>
        </w:rPr>
        <w:t xml:space="preserve">alism and Perfectionism’ in </w:t>
      </w:r>
      <w:r>
        <w:rPr>
          <w:i/>
          <w:sz w:val="24"/>
        </w:rPr>
        <w:t>Liberalism without Perfection</w:t>
      </w:r>
      <w:r>
        <w:rPr>
          <w:sz w:val="24"/>
        </w:rPr>
        <w:t xml:space="preserve"> (OUP) </w:t>
      </w:r>
    </w:p>
    <w:p>
      <w:pPr>
        <w:pStyle w:val="Normal"/>
        <w:jc w:val="left"/>
        <w:rPr>
          <w:sz w:val="24"/>
        </w:rPr>
      </w:pPr>
      <w:r>
        <w:rPr>
          <w:sz w:val="24"/>
        </w:rPr>
        <w:t xml:space="preserve">Conly, S. </w:t>
      </w:r>
      <w:r>
        <w:rPr>
          <w:i/>
          <w:iCs/>
          <w:sz w:val="24"/>
        </w:rPr>
        <w:t>Against Autonomy</w:t>
      </w:r>
      <w:r>
        <w:rPr>
          <w:sz w:val="24"/>
        </w:rPr>
        <w:t>, 2013, CUP. Chapters 1 and 6.</w:t>
      </w:r>
    </w:p>
    <w:p>
      <w:pPr>
        <w:pStyle w:val="Normal"/>
        <w:rPr>
          <w:sz w:val="24"/>
        </w:rPr>
      </w:pPr>
      <w:r>
        <w:rPr>
          <w:sz w:val="24"/>
        </w:rPr>
        <w:t xml:space="preserve">Darwall, S. ‘Two kinds of respect’, </w:t>
      </w:r>
      <w:r>
        <w:rPr>
          <w:i/>
          <w:iCs/>
          <w:sz w:val="24"/>
        </w:rPr>
        <w:t>Ethics</w:t>
      </w:r>
      <w:r>
        <w:rPr>
          <w:sz w:val="24"/>
        </w:rPr>
        <w:t>, 1977, 88, 36-49.</w:t>
      </w:r>
    </w:p>
    <w:p>
      <w:pPr>
        <w:pStyle w:val="Normal"/>
        <w:jc w:val="left"/>
        <w:rPr>
          <w:sz w:val="24"/>
        </w:rPr>
      </w:pPr>
      <w:r>
        <w:rPr>
          <w:sz w:val="24"/>
          <w:lang w:val="en-US"/>
        </w:rPr>
        <w:t>Blumenthal-Barby, J.S. (2013) Chapter 9: Choice Architecture: A mechanism for improving decisions while preserving liberty?, in Paternalism: Theory and Practice.</w:t>
      </w:r>
    </w:p>
    <w:p>
      <w:pPr>
        <w:pStyle w:val="Normal"/>
        <w:rPr>
          <w:rFonts w:ascii="Times New Roman" w:hAnsi="Times New Roman" w:eastAsia="Times New Roman" w:cs="Times New Roman"/>
          <w:sz w:val="24"/>
          <w:lang w:val="en-GB"/>
        </w:rPr>
      </w:pPr>
      <w:r>
        <w:rPr>
          <w:rFonts w:eastAsia="Times New Roman" w:cs="Times New Roman"/>
          <w:sz w:val="24"/>
          <w:lang w:val="en-GB"/>
        </w:rPr>
        <w:t>+ readings from the session on paternalism</w:t>
      </w:r>
    </w:p>
    <w:p>
      <w:pPr>
        <w:pStyle w:val="Normal"/>
        <w:rPr>
          <w:rFonts w:ascii="Times New Roman" w:hAnsi="Times New Roman" w:eastAsia="Times New Roman" w:cs="Times New Roman"/>
          <w:sz w:val="24"/>
          <w:lang w:val="en-GB"/>
        </w:rPr>
      </w:pPr>
      <w:r>
        <w:rPr>
          <w:rFonts w:eastAsia="Times New Roman" w:cs="Times New Roman"/>
          <w:sz w:val="24"/>
          <w:lang w:val="en-GB"/>
        </w:rPr>
      </w:r>
    </w:p>
    <w:p>
      <w:pPr>
        <w:pStyle w:val="ListParagraph"/>
        <w:numPr>
          <w:ilvl w:val="0"/>
          <w:numId w:val="1"/>
        </w:numPr>
        <w:jc w:val="left"/>
        <w:rPr/>
      </w:pPr>
      <w:r>
        <w:rPr>
          <w:b/>
          <w:bCs/>
          <w:sz w:val="24"/>
        </w:rPr>
        <w:t xml:space="preserve"> </w:t>
      </w:r>
      <w:r>
        <w:rPr>
          <w:b/>
          <w:bCs/>
          <w:sz w:val="24"/>
        </w:rPr>
        <w:t>Nudging in developing countries</w:t>
      </w:r>
    </w:p>
    <w:p>
      <w:pPr>
        <w:pStyle w:val="Normal"/>
        <w:rPr>
          <w:sz w:val="24"/>
        </w:rPr>
      </w:pPr>
      <w:r>
        <w:rPr/>
      </w:r>
    </w:p>
    <w:p>
      <w:pPr>
        <w:pStyle w:val="Normal"/>
        <w:rPr/>
      </w:pPr>
      <w:r>
        <w:rPr>
          <w:sz w:val="24"/>
        </w:rPr>
        <w:t>Required reading:</w:t>
      </w:r>
    </w:p>
    <w:p>
      <w:pPr>
        <w:pStyle w:val="Normal"/>
        <w:rPr>
          <w:rFonts w:ascii="Times New Roman" w:hAnsi="Times New Roman" w:eastAsia="Times New Roman" w:cs="Times New Roman"/>
          <w:sz w:val="24"/>
          <w:lang w:val="en-GB"/>
        </w:rPr>
      </w:pPr>
      <w:r>
        <w:rPr>
          <w:rFonts w:eastAsia="Times New Roman" w:cs="Times New Roman"/>
          <w:b w:val="false"/>
          <w:i w:val="false"/>
          <w:caps w:val="false"/>
          <w:smallCaps w:val="false"/>
          <w:color w:val="222222"/>
          <w:spacing w:val="0"/>
          <w:sz w:val="24"/>
          <w:lang w:val="en-GB"/>
        </w:rPr>
        <w:t>Shah, A. K., Mullainathan, S., &amp; Shafir, E. (2012). Some consequences of having too little. </w:t>
      </w:r>
      <w:r>
        <w:rPr>
          <w:rFonts w:eastAsia="Times New Roman" w:cs="Times New Roman"/>
          <w:b w:val="false"/>
          <w:i/>
          <w:color w:val="222222"/>
          <w:spacing w:val="0"/>
          <w:sz w:val="24"/>
          <w:lang w:val="en-GB"/>
        </w:rPr>
        <w:t>Science</w:t>
      </w:r>
      <w:r>
        <w:rPr>
          <w:rFonts w:eastAsia="Times New Roman" w:cs="Times New Roman"/>
          <w:b w:val="false"/>
          <w:i w:val="false"/>
          <w:caps w:val="false"/>
          <w:smallCaps w:val="false"/>
          <w:color w:val="222222"/>
          <w:spacing w:val="0"/>
          <w:sz w:val="24"/>
          <w:lang w:val="en-GB"/>
        </w:rPr>
        <w:t>, </w:t>
      </w:r>
      <w:r>
        <w:rPr>
          <w:rFonts w:eastAsia="Times New Roman" w:cs="Times New Roman"/>
          <w:b w:val="false"/>
          <w:i/>
          <w:color w:val="222222"/>
          <w:spacing w:val="0"/>
          <w:sz w:val="24"/>
          <w:lang w:val="en-GB"/>
        </w:rPr>
        <w:t>338</w:t>
      </w:r>
      <w:r>
        <w:rPr>
          <w:rFonts w:eastAsia="Times New Roman" w:cs="Times New Roman"/>
          <w:b w:val="false"/>
          <w:i w:val="false"/>
          <w:caps w:val="false"/>
          <w:smallCaps w:val="false"/>
          <w:color w:val="222222"/>
          <w:spacing w:val="0"/>
          <w:sz w:val="24"/>
          <w:lang w:val="en-GB"/>
        </w:rPr>
        <w:t>(6107), 682-685.</w:t>
      </w:r>
    </w:p>
    <w:p>
      <w:pPr>
        <w:pStyle w:val="Normal"/>
        <w:jc w:val="left"/>
        <w:rPr>
          <w:b/>
          <w:b/>
          <w:sz w:val="24"/>
        </w:rPr>
      </w:pPr>
      <w:r>
        <w:rPr>
          <w:b/>
          <w:sz w:val="24"/>
        </w:rPr>
      </w:r>
    </w:p>
    <w:p>
      <w:pPr>
        <w:pStyle w:val="Normal"/>
        <w:jc w:val="left"/>
        <w:rPr>
          <w:rFonts w:ascii="Times New Roman" w:hAnsi="Times New Roman" w:eastAsia="Times New Roman" w:cs="Times New Roman"/>
          <w:b w:val="false"/>
          <w:b w:val="false"/>
          <w:bCs w:val="false"/>
          <w:sz w:val="24"/>
          <w:lang w:val="en-GB"/>
        </w:rPr>
      </w:pPr>
      <w:r>
        <w:rPr>
          <w:rFonts w:eastAsia="Times New Roman" w:cs="Times New Roman"/>
          <w:b w:val="false"/>
          <w:bCs w:val="false"/>
          <w:sz w:val="24"/>
          <w:lang w:val="en-GB"/>
        </w:rPr>
        <w:t>Futher readings:</w:t>
      </w:r>
    </w:p>
    <w:p>
      <w:pPr>
        <w:pStyle w:val="Normal"/>
        <w:jc w:val="left"/>
        <w:rPr>
          <w:rFonts w:ascii="Times New Roman" w:hAnsi="Times New Roman" w:eastAsia="Times New Roman" w:cs="Times New Roman"/>
          <w:b w:val="false"/>
          <w:b w:val="false"/>
          <w:bCs w:val="false"/>
          <w:sz w:val="24"/>
          <w:lang w:val="en-GB"/>
        </w:rPr>
      </w:pPr>
      <w:r>
        <w:rPr>
          <w:rFonts w:eastAsia="Times New Roman" w:cs="Times New Roman"/>
          <w:b w:val="false"/>
          <w:bCs w:val="false"/>
          <w:i w:val="false"/>
          <w:caps w:val="false"/>
          <w:smallCaps w:val="false"/>
          <w:color w:val="222222"/>
          <w:spacing w:val="0"/>
          <w:sz w:val="24"/>
          <w:lang w:val="en-GB"/>
        </w:rPr>
        <w:t>Banerjee, Abhijit, et al. "The miracle of microfinance? Evidence from a randomized evaluation." </w:t>
      </w:r>
      <w:r>
        <w:rPr>
          <w:rFonts w:eastAsia="Times New Roman" w:cs="Times New Roman"/>
          <w:b w:val="false"/>
          <w:bCs w:val="false"/>
          <w:i/>
          <w:color w:val="222222"/>
          <w:spacing w:val="0"/>
          <w:sz w:val="24"/>
          <w:lang w:val="en-GB"/>
        </w:rPr>
        <w:t>American Economic Journal: Applied Economics</w:t>
      </w:r>
      <w:r>
        <w:rPr>
          <w:rFonts w:eastAsia="Times New Roman" w:cs="Times New Roman"/>
          <w:b w:val="false"/>
          <w:bCs w:val="false"/>
          <w:caps w:val="false"/>
          <w:smallCaps w:val="false"/>
          <w:color w:val="222222"/>
          <w:spacing w:val="0"/>
          <w:sz w:val="24"/>
          <w:lang w:val="en-GB"/>
        </w:rPr>
        <w:t> </w:t>
      </w:r>
      <w:r>
        <w:rPr>
          <w:rFonts w:eastAsia="Times New Roman" w:cs="Times New Roman"/>
          <w:b w:val="false"/>
          <w:bCs w:val="false"/>
          <w:i w:val="false"/>
          <w:caps w:val="false"/>
          <w:smallCaps w:val="false"/>
          <w:color w:val="222222"/>
          <w:spacing w:val="0"/>
          <w:sz w:val="24"/>
          <w:lang w:val="en-GB"/>
        </w:rPr>
        <w:t>7.1 (2015): 22-53.</w:t>
      </w:r>
    </w:p>
    <w:p>
      <w:pPr>
        <w:pStyle w:val="Normal"/>
        <w:jc w:val="left"/>
        <w:rPr>
          <w:rFonts w:ascii="Times New Roman" w:hAnsi="Times New Roman" w:eastAsia="Times New Roman" w:cs="Times New Roman"/>
          <w:b/>
          <w:b/>
          <w:sz w:val="24"/>
          <w:lang w:val="en-GB"/>
        </w:rPr>
      </w:pPr>
      <w:r>
        <w:rPr>
          <w:rFonts w:eastAsia="Times New Roman" w:cs="Times New Roman"/>
          <w:b/>
          <w:sz w:val="24"/>
          <w:lang w:val="en-GB"/>
        </w:rPr>
      </w:r>
    </w:p>
    <w:p>
      <w:pPr>
        <w:pStyle w:val="ListParagraph"/>
        <w:numPr>
          <w:ilvl w:val="0"/>
          <w:numId w:val="1"/>
        </w:numPr>
        <w:jc w:val="left"/>
        <w:rPr/>
      </w:pPr>
      <w:r>
        <w:rPr>
          <w:b/>
          <w:sz w:val="24"/>
        </w:rPr>
        <w:t>Nudge fair</w:t>
      </w:r>
    </w:p>
    <w:p>
      <w:pPr>
        <w:pStyle w:val="Normal"/>
        <w:jc w:val="left"/>
        <w:rPr/>
      </w:pPr>
      <w:r>
        <w:rPr>
          <w:sz w:val="24"/>
        </w:rPr>
        <w:t>Groups of students will select a nudge that they are willing to analyse. They will point out the underlying psychology motivating or enabling the nudge and they will analyse whether the nudge conforms to principles of liberal paternalism or other normative principles. They will also specify the implementation and consider possible unintended effects. In the following week, groups will present their work on this nudge. Among the possible nudges to be analysed are the following:</w:t>
      </w:r>
    </w:p>
    <w:p>
      <w:pPr>
        <w:pStyle w:val="Normal"/>
        <w:jc w:val="left"/>
        <w:rPr>
          <w:b/>
          <w:b/>
          <w:sz w:val="24"/>
        </w:rPr>
      </w:pPr>
      <w:r>
        <w:rPr>
          <w:b/>
          <w:sz w:val="24"/>
        </w:rPr>
      </w:r>
    </w:p>
    <w:p>
      <w:pPr>
        <w:pStyle w:val="Normal"/>
        <w:numPr>
          <w:ilvl w:val="0"/>
          <w:numId w:val="5"/>
        </w:numPr>
        <w:jc w:val="left"/>
        <w:rPr/>
      </w:pPr>
      <w:r>
        <w:rPr>
          <w:sz w:val="24"/>
        </w:rPr>
        <w:t>Nudging against smoking</w:t>
      </w:r>
    </w:p>
    <w:p>
      <w:pPr>
        <w:pStyle w:val="Normal"/>
        <w:jc w:val="left"/>
        <w:rPr/>
      </w:pPr>
      <w:r>
        <w:rPr>
          <w:sz w:val="24"/>
        </w:rPr>
        <w:t>Barton, A. How tobacco health warnings can foster autonomy. Public Health Ethics, 6(2), 2013. Pp. 207-219.</w:t>
      </w:r>
    </w:p>
    <w:p>
      <w:pPr>
        <w:pStyle w:val="Normal"/>
        <w:jc w:val="left"/>
        <w:rPr>
          <w:sz w:val="24"/>
        </w:rPr>
      </w:pPr>
      <w:r>
        <w:rPr>
          <w:sz w:val="24"/>
        </w:rPr>
      </w:r>
    </w:p>
    <w:p>
      <w:pPr>
        <w:pStyle w:val="Normal"/>
        <w:numPr>
          <w:ilvl w:val="0"/>
          <w:numId w:val="6"/>
        </w:numPr>
        <w:jc w:val="left"/>
        <w:rPr/>
      </w:pPr>
      <w:r>
        <w:rPr>
          <w:sz w:val="24"/>
        </w:rPr>
        <w:t>Using laptops during courses (students will have to discuss whether teachers should nudge against using laptops during course and how)</w:t>
      </w:r>
    </w:p>
    <w:p>
      <w:pPr>
        <w:pStyle w:val="Normal"/>
        <w:rPr/>
      </w:pPr>
      <w:r>
        <w:rPr>
          <w:sz w:val="24"/>
        </w:rPr>
        <w:t xml:space="preserve">Mueller, P., and Daniel M. Oppenheimer, ‘The Pen Is Mightier Than the Keyboard: Advantages of Longhand Over Laptop Note Taking’, </w:t>
      </w:r>
      <w:r>
        <w:rPr>
          <w:i/>
          <w:sz w:val="24"/>
        </w:rPr>
        <w:t>Psychological Science</w:t>
      </w:r>
      <w:r>
        <w:rPr>
          <w:sz w:val="24"/>
        </w:rPr>
        <w:t xml:space="preserve"> 25( 2014), pp. 1159-68.</w:t>
      </w:r>
    </w:p>
    <w:p>
      <w:pPr>
        <w:pStyle w:val="Normal"/>
        <w:rPr/>
      </w:pPr>
      <w:r>
        <w:rPr>
          <w:sz w:val="24"/>
        </w:rPr>
        <w:t xml:space="preserve">Sana, F., T. Weston and N. Cepeda ‘Laptop multitasking hinders classroom learning for both users and nearby peers’ </w:t>
      </w:r>
      <w:r>
        <w:rPr>
          <w:i/>
          <w:sz w:val="24"/>
        </w:rPr>
        <w:t>Computers and Education</w:t>
      </w:r>
      <w:r>
        <w:rPr>
          <w:sz w:val="24"/>
        </w:rPr>
        <w:t xml:space="preserve">, 62 (2013) 24-31.  </w:t>
      </w:r>
    </w:p>
    <w:p>
      <w:pPr>
        <w:pStyle w:val="Normal"/>
        <w:rPr>
          <w:sz w:val="24"/>
        </w:rPr>
      </w:pPr>
      <w:r>
        <w:rPr>
          <w:sz w:val="24"/>
        </w:rPr>
      </w:r>
    </w:p>
    <w:p>
      <w:pPr>
        <w:pStyle w:val="Normal"/>
        <w:numPr>
          <w:ilvl w:val="0"/>
          <w:numId w:val="7"/>
        </w:numPr>
        <w:rPr/>
      </w:pPr>
      <w:r>
        <w:rPr>
          <w:sz w:val="24"/>
        </w:rPr>
        <w:t>Sin taxes</w:t>
      </w:r>
    </w:p>
    <w:p>
      <w:pPr>
        <w:pStyle w:val="Normal"/>
        <w:rPr/>
      </w:pPr>
      <w:r>
        <w:rPr>
          <w:sz w:val="24"/>
        </w:rPr>
        <w:t>O'Donoghue, Ted, and Matthew Rabin. "Optimal sin taxes." Journal of Public Economics 90.10 (2006): 1825-1849.</w:t>
      </w:r>
    </w:p>
    <w:p>
      <w:pPr>
        <w:pStyle w:val="Normal"/>
        <w:rPr>
          <w:sz w:val="24"/>
        </w:rPr>
      </w:pPr>
      <w:r>
        <w:rPr>
          <w:sz w:val="24"/>
        </w:rPr>
      </w:r>
    </w:p>
    <w:p>
      <w:pPr>
        <w:pStyle w:val="Normal"/>
        <w:numPr>
          <w:ilvl w:val="0"/>
          <w:numId w:val="8"/>
        </w:numPr>
        <w:rPr/>
      </w:pPr>
      <w:r>
        <w:rPr>
          <w:sz w:val="24"/>
        </w:rPr>
        <w:t>Peer effect and shaming</w:t>
      </w:r>
    </w:p>
    <w:p>
      <w:pPr>
        <w:pStyle w:val="Normal"/>
        <w:rPr/>
      </w:pPr>
      <w:r>
        <w:rPr>
          <w:sz w:val="24"/>
        </w:rPr>
        <w:t>Duflo, Esther, and Emmanuel Saez. The role of information and social interactions in retirement plan decisions: Evidence from a randomized experiment. No. w8885. National Bureau of Economic Research, 2002.</w:t>
      </w:r>
    </w:p>
    <w:p>
      <w:pPr>
        <w:pStyle w:val="Normal"/>
        <w:rPr>
          <w:sz w:val="24"/>
        </w:rPr>
      </w:pPr>
      <w:r>
        <w:rPr>
          <w:sz w:val="24"/>
        </w:rPr>
      </w:r>
    </w:p>
    <w:p>
      <w:pPr>
        <w:pStyle w:val="Normal"/>
        <w:numPr>
          <w:ilvl w:val="0"/>
          <w:numId w:val="9"/>
        </w:numPr>
        <w:rPr/>
      </w:pPr>
      <w:r>
        <w:rPr>
          <w:sz w:val="24"/>
        </w:rPr>
        <w:t>Cooling-off</w:t>
      </w:r>
    </w:p>
    <w:p>
      <w:pPr>
        <w:pStyle w:val="Normal"/>
        <w:ind w:hanging="0"/>
        <w:jc w:val="left"/>
        <w:rPr/>
      </w:pPr>
      <w:r>
        <w:rPr>
          <w:sz w:val="24"/>
        </w:rPr>
        <w:t>Rekaiti, Pamaria, and Roger Van den Bergh. "Cooling-off periods in the consumer laws of the EC Member States. A comparative law and economics approach." Journal of Consumer Policy 23.4 (2000): 371-408.</w:t>
      </w:r>
    </w:p>
    <w:p>
      <w:pPr>
        <w:pStyle w:val="Normal"/>
        <w:ind w:firstLine="720"/>
        <w:jc w:val="left"/>
        <w:rPr>
          <w:sz w:val="24"/>
        </w:rPr>
      </w:pPr>
      <w:r>
        <w:rPr>
          <w:sz w:val="24"/>
        </w:rPr>
      </w:r>
    </w:p>
    <w:p>
      <w:pPr>
        <w:pStyle w:val="Normal"/>
        <w:numPr>
          <w:ilvl w:val="0"/>
          <w:numId w:val="10"/>
        </w:numPr>
        <w:jc w:val="left"/>
        <w:rPr/>
      </w:pPr>
      <w:r>
        <w:rPr>
          <w:sz w:val="24"/>
        </w:rPr>
        <w:t>The nudges actually implemented by the insight team in the UK.</w:t>
      </w:r>
    </w:p>
    <w:p>
      <w:pPr>
        <w:pStyle w:val="Normal"/>
        <w:jc w:val="left"/>
        <w:rPr/>
      </w:pPr>
      <w:r>
        <w:rPr>
          <w:sz w:val="24"/>
        </w:rPr>
        <w:t>http://www.behaviouralinsights.co.uk/</w:t>
      </w:r>
    </w:p>
    <w:p>
      <w:pPr>
        <w:pStyle w:val="Normal"/>
        <w:jc w:val="left"/>
        <w:rPr>
          <w:sz w:val="24"/>
        </w:rPr>
      </w:pPr>
      <w:r>
        <w:rPr/>
      </w:r>
    </w:p>
    <w:p>
      <w:pPr>
        <w:pStyle w:val="Normal"/>
        <w:numPr>
          <w:ilvl w:val="0"/>
          <w:numId w:val="11"/>
        </w:numPr>
        <w:jc w:val="left"/>
        <w:rPr/>
      </w:pPr>
      <w:r>
        <w:rPr>
          <w:sz w:val="24"/>
        </w:rPr>
        <w:t>Nudging prosocial behavior</w:t>
      </w:r>
    </w:p>
    <w:p>
      <w:pPr>
        <w:pStyle w:val="Normal"/>
        <w:jc w:val="left"/>
        <w:rPr/>
      </w:pPr>
      <w:r>
        <w:rPr>
          <w:sz w:val="24"/>
        </w:rPr>
        <w:t>Kasperbauer, T.J. 2015. ‘Psychological Constraints on Egalitarianism: The Challenge of Just World Beliefs’</w:t>
      </w:r>
    </w:p>
    <w:p>
      <w:pPr>
        <w:pStyle w:val="Normal"/>
        <w:jc w:val="left"/>
        <w:rPr>
          <w:sz w:val="24"/>
        </w:rPr>
      </w:pPr>
      <w:r>
        <w:rPr/>
      </w:r>
    </w:p>
    <w:p>
      <w:pPr>
        <w:pStyle w:val="Normal"/>
        <w:numPr>
          <w:ilvl w:val="0"/>
          <w:numId w:val="12"/>
        </w:numPr>
        <w:jc w:val="left"/>
        <w:rPr/>
      </w:pPr>
      <w:r>
        <w:rPr>
          <w:sz w:val="24"/>
        </w:rPr>
        <w:t>Nudging at CEU: against procrastination, for eco-friendly behavior, and other sins that faculty, staff and\or students might commit.</w:t>
      </w:r>
    </w:p>
    <w:p>
      <w:pPr>
        <w:pStyle w:val="Normal"/>
        <w:jc w:val="left"/>
        <w:rPr>
          <w:b/>
          <w:b/>
          <w:sz w:val="24"/>
        </w:rPr>
      </w:pPr>
      <w:r>
        <w:rPr/>
      </w:r>
    </w:p>
    <w:p>
      <w:pPr>
        <w:pStyle w:val="Normal"/>
        <w:ind w:hanging="0"/>
        <w:jc w:val="left"/>
        <w:rPr/>
      </w:pPr>
      <w:r>
        <w:rPr/>
      </w:r>
    </w:p>
    <w:p>
      <w:pPr>
        <w:pStyle w:val="ListParagraph"/>
        <w:numPr>
          <w:ilvl w:val="0"/>
          <w:numId w:val="1"/>
        </w:numPr>
        <w:jc w:val="left"/>
        <w:rPr/>
      </w:pPr>
      <w:r>
        <w:rPr>
          <w:b/>
          <w:sz w:val="24"/>
        </w:rPr>
        <w:t>Liberal vs. democratic nudges</w:t>
      </w:r>
    </w:p>
    <w:p>
      <w:pPr>
        <w:pStyle w:val="Normal"/>
        <w:jc w:val="left"/>
        <w:rPr>
          <w:sz w:val="24"/>
        </w:rPr>
      </w:pPr>
      <w:r>
        <w:rPr/>
      </w:r>
    </w:p>
    <w:p>
      <w:pPr>
        <w:pStyle w:val="Normal"/>
        <w:jc w:val="left"/>
        <w:rPr/>
      </w:pPr>
      <w:r>
        <w:rPr>
          <w:sz w:val="24"/>
        </w:rPr>
        <w:t>Required readings</w:t>
      </w:r>
    </w:p>
    <w:p>
      <w:pPr>
        <w:pStyle w:val="Normal"/>
        <w:jc w:val="left"/>
        <w:rPr/>
      </w:pPr>
      <w:r>
        <w:rPr>
          <w:sz w:val="24"/>
        </w:rPr>
        <w:t xml:space="preserve">Moles, A. Nudging for Liberals 2015, </w:t>
      </w:r>
      <w:r>
        <w:rPr>
          <w:i/>
          <w:iCs/>
          <w:sz w:val="24"/>
        </w:rPr>
        <w:t>Social Theory and Practice</w:t>
      </w:r>
      <w:r>
        <w:rPr>
          <w:sz w:val="24"/>
        </w:rPr>
        <w:t>.</w:t>
      </w:r>
    </w:p>
    <w:p>
      <w:pPr>
        <w:pStyle w:val="Normal"/>
        <w:jc w:val="left"/>
        <w:rPr>
          <w:b w:val="false"/>
          <w:b w:val="false"/>
          <w:bCs w:val="false"/>
        </w:rPr>
      </w:pPr>
      <w:r>
        <w:rPr>
          <w:b w:val="false"/>
          <w:bCs w:val="false"/>
          <w:sz w:val="24"/>
        </w:rPr>
        <w:t>Heintz, C. Democratic nudge. Work</w:t>
      </w:r>
      <w:r>
        <w:rPr>
          <w:b w:val="false"/>
          <w:bCs w:val="false"/>
          <w:sz w:val="24"/>
        </w:rPr>
        <w:t>ing paper</w:t>
      </w:r>
      <w:r>
        <w:rPr>
          <w:b w:val="false"/>
          <w:bCs w:val="false"/>
          <w:sz w:val="24"/>
        </w:rPr>
        <w:t>.</w:t>
      </w:r>
    </w:p>
    <w:p>
      <w:pPr>
        <w:pStyle w:val="Normal"/>
        <w:jc w:val="left"/>
        <w:rPr>
          <w:sz w:val="24"/>
        </w:rPr>
      </w:pPr>
      <w:r>
        <w:rPr>
          <w:b w:val="false"/>
          <w:bCs w:val="false"/>
        </w:rPr>
      </w:r>
    </w:p>
    <w:p>
      <w:pPr>
        <w:pStyle w:val="ListParagraph"/>
        <w:jc w:val="left"/>
        <w:rPr>
          <w:b/>
          <w:b/>
          <w:sz w:val="24"/>
        </w:rPr>
      </w:pPr>
      <w:r>
        <w:rPr/>
      </w:r>
    </w:p>
    <w:p>
      <w:pPr>
        <w:pStyle w:val="ListParagraph"/>
        <w:numPr>
          <w:ilvl w:val="0"/>
          <w:numId w:val="1"/>
        </w:numPr>
        <w:jc w:val="left"/>
        <w:rPr/>
      </w:pPr>
      <w:bookmarkStart w:id="0" w:name="_GoBack"/>
      <w:bookmarkEnd w:id="0"/>
      <w:r>
        <w:rPr>
          <w:b/>
          <w:sz w:val="24"/>
        </w:rPr>
        <w:t>Freedom of speech</w:t>
      </w:r>
    </w:p>
    <w:p>
      <w:pPr>
        <w:pStyle w:val="Normal"/>
        <w:widowControl w:val="false"/>
        <w:spacing w:before="51" w:after="0"/>
        <w:jc w:val="left"/>
        <w:rPr>
          <w:sz w:val="24"/>
        </w:rPr>
      </w:pPr>
      <w:r>
        <w:rPr>
          <w:sz w:val="24"/>
        </w:rPr>
        <w:t>Moles, A. .</w:t>
      </w:r>
      <w:r>
        <w:rPr>
          <w:color w:val="000000"/>
          <w:sz w:val="24"/>
        </w:rPr>
        <w:t xml:space="preserve"> 2007 ‘Autonomy, Free Speech and Automatic Behaviour’</w:t>
      </w:r>
      <w:r>
        <w:rPr>
          <w:i/>
          <w:iCs/>
          <w:color w:val="000000"/>
          <w:sz w:val="24"/>
        </w:rPr>
        <w:t xml:space="preserve">, Res Publica, </w:t>
      </w:r>
      <w:r>
        <w:rPr>
          <w:color w:val="000000"/>
          <w:sz w:val="24"/>
        </w:rPr>
        <w:t xml:space="preserve">13, 1, pp. 53-75. </w:t>
      </w:r>
    </w:p>
    <w:p>
      <w:pPr>
        <w:pStyle w:val="Normal"/>
        <w:widowControl w:val="false"/>
        <w:spacing w:before="51" w:after="0"/>
        <w:jc w:val="left"/>
        <w:rPr>
          <w:rStyle w:val="St"/>
          <w:sz w:val="24"/>
        </w:rPr>
      </w:pPr>
      <w:r>
        <w:rPr>
          <w:sz w:val="24"/>
        </w:rPr>
      </w:r>
    </w:p>
    <w:p>
      <w:pPr>
        <w:pStyle w:val="Normal"/>
        <w:widowControl w:val="false"/>
        <w:spacing w:before="51" w:after="0"/>
        <w:jc w:val="left"/>
        <w:rPr>
          <w:rStyle w:val="St"/>
          <w:sz w:val="24"/>
        </w:rPr>
      </w:pPr>
      <w:r>
        <w:rPr>
          <w:rStyle w:val="St"/>
          <w:sz w:val="24"/>
        </w:rPr>
        <w:t xml:space="preserve">Scanlon, T. ‘A Theory of </w:t>
      </w:r>
      <w:r>
        <w:rPr>
          <w:rStyle w:val="Emphasis"/>
          <w:i w:val="false"/>
          <w:sz w:val="24"/>
        </w:rPr>
        <w:t>Freedom of Expression</w:t>
      </w:r>
      <w:r>
        <w:rPr>
          <w:rStyle w:val="St"/>
          <w:sz w:val="24"/>
        </w:rPr>
        <w:t xml:space="preserve">’, </w:t>
      </w:r>
      <w:r>
        <w:rPr>
          <w:rStyle w:val="St"/>
          <w:i/>
          <w:sz w:val="24"/>
        </w:rPr>
        <w:t>Philosophy and Public Affairs</w:t>
      </w:r>
      <w:r>
        <w:rPr>
          <w:rStyle w:val="St"/>
          <w:sz w:val="24"/>
        </w:rPr>
        <w:t>, Vol. 1, No. 2. (Winter, 1972), pp. 204-226</w:t>
      </w:r>
    </w:p>
    <w:p>
      <w:pPr>
        <w:pStyle w:val="Normal"/>
        <w:widowControl w:val="false"/>
        <w:spacing w:before="51" w:after="0"/>
        <w:jc w:val="left"/>
        <w:rPr>
          <w:sz w:val="24"/>
        </w:rPr>
      </w:pPr>
      <w:r>
        <w:rPr>
          <w:sz w:val="24"/>
        </w:rPr>
      </w:r>
    </w:p>
    <w:p>
      <w:pPr>
        <w:pStyle w:val="Normal"/>
        <w:widowControl w:val="false"/>
        <w:spacing w:before="51" w:after="0"/>
        <w:jc w:val="left"/>
        <w:rPr/>
      </w:pPr>
      <w:r>
        <w:rPr>
          <w:rStyle w:val="St"/>
          <w:sz w:val="24"/>
        </w:rPr>
        <w:t xml:space="preserve">Some conclusions </w:t>
      </w:r>
      <w:r>
        <w:rPr>
          <w:rStyle w:val="St"/>
          <w:sz w:val="24"/>
        </w:rPr>
        <w:t>on h</w:t>
      </w:r>
      <w:r>
        <w:rPr>
          <w:rStyle w:val="St"/>
          <w:sz w:val="24"/>
        </w:rPr>
        <w:t>ow to save the world.</w:t>
      </w:r>
    </w:p>
    <w:p>
      <w:pPr>
        <w:pStyle w:val="Normal"/>
        <w:jc w:val="left"/>
        <w:rPr>
          <w:sz w:val="24"/>
        </w:rPr>
      </w:pPr>
      <w:r>
        <w:rPr>
          <w:sz w:val="24"/>
        </w:rPr>
      </w:r>
    </w:p>
    <w:p>
      <w:pPr>
        <w:pStyle w:val="Normal"/>
        <w:jc w:val="left"/>
        <w:rPr>
          <w:sz w:val="24"/>
        </w:rPr>
      </w:pPr>
      <w:r>
        <w:rPr>
          <w:sz w:val="24"/>
        </w:rPr>
      </w:r>
    </w:p>
    <w:p>
      <w:pPr>
        <w:pStyle w:val="Normal"/>
        <w:jc w:val="left"/>
        <w:rPr/>
      </w:pPr>
      <w:r>
        <w:rPr/>
      </w:r>
    </w:p>
    <w:sectPr>
      <w:footerReference w:type="default" r:id="rId7"/>
      <w:type w:val="nextPage"/>
      <w:pgSz w:w="11906" w:h="16838"/>
      <w:pgMar w:left="1800" w:right="1800" w:header="0" w:top="1440" w:footer="708" w:bottom="1440" w:gutter="0"/>
      <w:pgNumType w:fmt="decimal"/>
      <w:formProt w:val="false"/>
      <w:textDirection w:val="lrTb"/>
      <w:docGrid w:type="default" w:linePitch="249"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Times New Roman">
    <w:charset w:val="01"/>
    <w:family w:val="roman"/>
    <w:pitch w:val="variable"/>
  </w:font>
  <w:font w:name="Arial">
    <w:charset w:val="01"/>
    <w:family w:val="roman"/>
    <w:pitch w:val="variable"/>
  </w:font>
  <w:font w:name="OpenSymbol">
    <w:altName w:val="Arial Unicode MS"/>
    <w:charset w:val="02"/>
    <w:family w:val="auto"/>
    <w:pitch w:val="default"/>
  </w:font>
  <w:font w:name="Liberation Sans">
    <w:altName w:val="Arial"/>
    <w:charset w:val="01"/>
    <w:family w:val="roman"/>
    <w:pitch w:val="variable"/>
  </w:font>
  <w:font w:name="Times">
    <w:altName w:val="Times New Roman"/>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26846291"/>
    </w:sdtPr>
    <w:sdtContent>
      <w:p>
        <w:pPr>
          <w:pStyle w:val="Footer"/>
          <w:jc w:val="right"/>
          <w:rPr/>
        </w:pPr>
        <w:r>
          <w:rPr/>
          <w:fldChar w:fldCharType="begin"/>
        </w:r>
        <w:r>
          <w:instrText> PAGE </w:instrText>
        </w:r>
        <w:r>
          <w:fldChar w:fldCharType="separate"/>
        </w:r>
        <w:r>
          <w:t>6</w:t>
        </w:r>
        <w: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tabs>
          <w:tab w:val="num" w:pos="360"/>
        </w:tabs>
        <w:ind w:left="360" w:hanging="360"/>
      </w:pPr>
      <w:rPr>
        <w:rFonts w:ascii="Symbol" w:hAnsi="Symbol" w:cs="Symbol" w:hint="default"/>
        <w:sz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360"/>
        </w:tabs>
        <w:ind w:left="360" w:hanging="360"/>
      </w:pPr>
      <w:rPr>
        <w:rFonts w:ascii="Symbol" w:hAnsi="Symbol" w:cs="Symbol" w:hint="default"/>
        <w:sz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ind w:left="360" w:hanging="360"/>
      </w:pPr>
      <w:rPr>
        <w:rFonts w:ascii="Symbol" w:hAnsi="Symbol" w:cs="Symbol" w:hint="default"/>
        <w:sz w:val="24"/>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0">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embedSystemFont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uiPriority="20"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styleId="Normal" w:default="1">
    <w:name w:val="Normal"/>
    <w:qFormat/>
    <w:rsid w:val="00083184"/>
    <w:pPr>
      <w:widowControl/>
      <w:bidi w:val="0"/>
      <w:jc w:val="both"/>
    </w:pPr>
    <w:rPr>
      <w:rFonts w:ascii="Times New Roman" w:hAnsi="Times New Roman" w:eastAsia="Times New Roman" w:cs="Times New Roman"/>
      <w:color w:val="auto"/>
      <w:sz w:val="20"/>
      <w:szCs w:val="24"/>
      <w:lang w:val="en-GB" w:eastAsia="en-US" w:bidi="ar-SA"/>
    </w:rPr>
  </w:style>
  <w:style w:type="character" w:styleId="DefaultParagraphFont" w:default="1">
    <w:name w:val="Default Paragraph Font"/>
    <w:uiPriority w:val="1"/>
    <w:semiHidden/>
    <w:unhideWhenUsed/>
    <w:qFormat/>
    <w:rPr/>
  </w:style>
  <w:style w:type="character" w:styleId="Emphasis">
    <w:name w:val="Emphasis"/>
    <w:basedOn w:val="DefaultParagraphFont"/>
    <w:uiPriority w:val="20"/>
    <w:qFormat/>
    <w:rsid w:val="00cd0327"/>
    <w:rPr>
      <w:i/>
      <w:iCs/>
    </w:rPr>
  </w:style>
  <w:style w:type="character" w:styleId="St" w:customStyle="1">
    <w:name w:val="st"/>
    <w:basedOn w:val="DefaultParagraphFont"/>
    <w:qFormat/>
    <w:rsid w:val="00ac7eba"/>
    <w:rPr/>
  </w:style>
  <w:style w:type="character" w:styleId="Appleconvertedspace" w:customStyle="1">
    <w:name w:val="apple-converted-space"/>
    <w:basedOn w:val="DefaultParagraphFont"/>
    <w:qFormat/>
    <w:rsid w:val="0064490d"/>
    <w:rPr/>
  </w:style>
  <w:style w:type="character" w:styleId="InternetLink" w:customStyle="1">
    <w:name w:val="Internet Link"/>
    <w:basedOn w:val="DefaultParagraphFont"/>
    <w:uiPriority w:val="99"/>
    <w:unhideWhenUsed/>
    <w:rsid w:val="008428a6"/>
    <w:rPr>
      <w:color w:val="0000FF"/>
      <w:u w:val="single"/>
    </w:rPr>
  </w:style>
  <w:style w:type="character" w:styleId="HeaderChar" w:customStyle="1">
    <w:name w:val="Header Char"/>
    <w:basedOn w:val="DefaultParagraphFont"/>
    <w:link w:val="Header"/>
    <w:qFormat/>
    <w:rsid w:val="004910e3"/>
    <w:rPr>
      <w:rFonts w:ascii="Times New Roman" w:hAnsi="Times New Roman" w:eastAsia="Times New Roman" w:cs="Times New Roman"/>
      <w:sz w:val="20"/>
      <w:lang w:val="en-GB"/>
    </w:rPr>
  </w:style>
  <w:style w:type="character" w:styleId="FooterChar" w:customStyle="1">
    <w:name w:val="Footer Char"/>
    <w:basedOn w:val="DefaultParagraphFont"/>
    <w:link w:val="Footer"/>
    <w:uiPriority w:val="99"/>
    <w:qFormat/>
    <w:rsid w:val="004910e3"/>
    <w:rPr>
      <w:rFonts w:ascii="Times New Roman" w:hAnsi="Times New Roman" w:eastAsia="Times New Roman" w:cs="Times New Roman"/>
      <w:sz w:val="20"/>
      <w:lang w:val="en-GB"/>
    </w:rPr>
  </w:style>
  <w:style w:type="character" w:styleId="HTMLCite">
    <w:name w:val="HTML Cite"/>
    <w:basedOn w:val="DefaultParagraphFont"/>
    <w:uiPriority w:val="99"/>
    <w:qFormat/>
    <w:rsid w:val="00643332"/>
    <w:rPr>
      <w:i/>
    </w:rPr>
  </w:style>
  <w:style w:type="character" w:styleId="BalloonTextChar" w:customStyle="1">
    <w:name w:val="Balloon Text Char"/>
    <w:basedOn w:val="DefaultParagraphFont"/>
    <w:link w:val="BalloonText"/>
    <w:semiHidden/>
    <w:qFormat/>
    <w:rsid w:val="008019a4"/>
    <w:rPr>
      <w:rFonts w:ascii="Arial" w:hAnsi="Arial" w:eastAsia="Times New Roman" w:cs="Arial"/>
      <w:sz w:val="18"/>
      <w:szCs w:val="18"/>
      <w:lang w:val="en-GB"/>
    </w:rPr>
  </w:style>
  <w:style w:type="character" w:styleId="ListLabel1" w:customStyle="1">
    <w:name w:val="ListLabel 1"/>
    <w:qFormat/>
    <w:rPr>
      <w:rFonts w:eastAsia="Times New Roman" w:cs="Times New Roman"/>
    </w:rPr>
  </w:style>
  <w:style w:type="character" w:styleId="ListLabel2" w:customStyle="1">
    <w:name w:val="ListLabel 2"/>
    <w:qFormat/>
    <w:rPr>
      <w:rFonts w:cs="Arial"/>
    </w:rPr>
  </w:style>
  <w:style w:type="character" w:styleId="ListLabel3" w:customStyle="1">
    <w:name w:val="ListLabel 3"/>
    <w:qFormat/>
    <w:rPr>
      <w:rFonts w:eastAsia="Times New Roman"/>
    </w:rPr>
  </w:style>
  <w:style w:type="character" w:styleId="Annotationreference">
    <w:name w:val="annotation reference"/>
    <w:basedOn w:val="DefaultParagraphFont"/>
    <w:semiHidden/>
    <w:unhideWhenUsed/>
    <w:qFormat/>
    <w:rsid w:val="00ab659c"/>
    <w:rPr>
      <w:sz w:val="16"/>
      <w:szCs w:val="16"/>
    </w:rPr>
  </w:style>
  <w:style w:type="character" w:styleId="CommentTextChar" w:customStyle="1">
    <w:name w:val="Comment Text Char"/>
    <w:basedOn w:val="DefaultParagraphFont"/>
    <w:link w:val="CommentText"/>
    <w:semiHidden/>
    <w:qFormat/>
    <w:rsid w:val="00ab659c"/>
    <w:rPr>
      <w:rFonts w:ascii="Times New Roman" w:hAnsi="Times New Roman" w:eastAsia="Times New Roman" w:cs="Times New Roman"/>
      <w:szCs w:val="20"/>
      <w:lang w:val="en-GB"/>
    </w:rPr>
  </w:style>
  <w:style w:type="character" w:styleId="CommentSubjectChar" w:customStyle="1">
    <w:name w:val="Comment Subject Char"/>
    <w:basedOn w:val="CommentTextChar"/>
    <w:link w:val="CommentSubject"/>
    <w:semiHidden/>
    <w:qFormat/>
    <w:rsid w:val="00ab659c"/>
    <w:rPr>
      <w:rFonts w:ascii="Times New Roman" w:hAnsi="Times New Roman" w:eastAsia="Times New Roman" w:cs="Times New Roman"/>
      <w:b/>
      <w:bCs/>
      <w:szCs w:val="20"/>
      <w:lang w:val="en-GB"/>
    </w:rPr>
  </w:style>
  <w:style w:type="character" w:styleId="ListLabel4">
    <w:name w:val="ListLabel 4"/>
    <w:qFormat/>
    <w:rPr>
      <w:rFonts w:cs="Symbol"/>
      <w:sz w:val="24"/>
    </w:rPr>
  </w:style>
  <w:style w:type="character" w:styleId="ListLabel5">
    <w:name w:val="ListLabel 5"/>
    <w:qFormat/>
    <w:rPr>
      <w:rFonts w:cs="Symbol"/>
      <w:sz w:val="24"/>
    </w:rPr>
  </w:style>
  <w:style w:type="character" w:styleId="ListLabel6">
    <w:name w:val="ListLabel 6"/>
    <w:qFormat/>
    <w:rPr>
      <w:rFonts w:ascii="Times New Roman" w:hAnsi="Times New Roman" w:cs="Symbol"/>
      <w:sz w:val="24"/>
    </w:rPr>
  </w:style>
  <w:style w:type="character" w:styleId="ListLabel7">
    <w:name w:val="ListLabel 7"/>
    <w:qFormat/>
    <w:rPr>
      <w:rFonts w:cs="Courier New"/>
    </w:rPr>
  </w:style>
  <w:style w:type="character" w:styleId="ListLabel8">
    <w:name w:val="ListLabel 8"/>
    <w:qFormat/>
    <w:rPr>
      <w:rFonts w:cs="Wingdings"/>
    </w:rPr>
  </w:style>
  <w:style w:type="character" w:styleId="ListLabel9">
    <w:name w:val="ListLabel 9"/>
    <w:qFormat/>
    <w:rPr>
      <w:rFonts w:cs="Symbol"/>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Symbol"/>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cs="Symbol"/>
    </w:rPr>
  </w:style>
  <w:style w:type="character" w:styleId="ListLabel22">
    <w:name w:val="ListLabel 22"/>
    <w:qFormat/>
    <w:rPr>
      <w:rFonts w:cs="Courier New"/>
    </w:rPr>
  </w:style>
  <w:style w:type="character" w:styleId="ListLabel23">
    <w:name w:val="ListLabel 23"/>
    <w:qFormat/>
    <w:rPr>
      <w:rFonts w:cs="Wingdings"/>
    </w:rPr>
  </w:style>
  <w:style w:type="character" w:styleId="NumberingSymbols">
    <w:name w:val="Numbering Symbols"/>
    <w:qFormat/>
    <w:rPr/>
  </w:style>
  <w:style w:type="character" w:styleId="Bullets">
    <w:name w:val="Bullets"/>
    <w:qFormat/>
    <w:rPr>
      <w:rFonts w:ascii="OpenSymbol" w:hAnsi="OpenSymbol" w:eastAsia="OpenSymbol" w:cs="OpenSymbol"/>
    </w:rPr>
  </w:style>
  <w:style w:type="paragraph" w:styleId="Heading" w:customStyle="1">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customStyle="1">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rFonts w:cs="FreeSans"/>
    </w:rPr>
  </w:style>
  <w:style w:type="paragraph" w:styleId="Caption1">
    <w:name w:val="caption"/>
    <w:basedOn w:val="Normal"/>
    <w:qFormat/>
    <w:pPr>
      <w:suppressLineNumbers/>
      <w:spacing w:before="120" w:after="120"/>
    </w:pPr>
    <w:rPr>
      <w:rFonts w:cs="FreeSans"/>
      <w:i/>
      <w:iCs/>
      <w:sz w:val="24"/>
    </w:rPr>
  </w:style>
  <w:style w:type="paragraph" w:styleId="ListParagraph">
    <w:name w:val="List Paragraph"/>
    <w:basedOn w:val="Normal"/>
    <w:qFormat/>
    <w:rsid w:val="00083184"/>
    <w:pPr>
      <w:spacing w:before="0" w:after="0"/>
      <w:ind w:left="720" w:hanging="0"/>
      <w:contextualSpacing/>
    </w:pPr>
    <w:rPr/>
  </w:style>
  <w:style w:type="paragraph" w:styleId="NormalWeb">
    <w:name w:val="Normal (Web)"/>
    <w:basedOn w:val="Normal"/>
    <w:uiPriority w:val="99"/>
    <w:qFormat/>
    <w:rsid w:val="00cd0327"/>
    <w:pPr>
      <w:spacing w:before="2" w:after="2"/>
      <w:jc w:val="left"/>
    </w:pPr>
    <w:rPr>
      <w:rFonts w:ascii="Times" w:hAnsi="Times"/>
      <w:szCs w:val="20"/>
      <w:lang w:val="en-US"/>
    </w:rPr>
  </w:style>
  <w:style w:type="paragraph" w:styleId="Header">
    <w:name w:val="Header"/>
    <w:basedOn w:val="Normal"/>
    <w:link w:val="HeaderChar"/>
    <w:rsid w:val="004910e3"/>
    <w:pPr>
      <w:tabs>
        <w:tab w:val="center" w:pos="4680" w:leader="none"/>
        <w:tab w:val="right" w:pos="9360" w:leader="none"/>
      </w:tabs>
    </w:pPr>
    <w:rPr/>
  </w:style>
  <w:style w:type="paragraph" w:styleId="Footer">
    <w:name w:val="Footer"/>
    <w:basedOn w:val="Normal"/>
    <w:link w:val="FooterChar"/>
    <w:uiPriority w:val="99"/>
    <w:rsid w:val="004910e3"/>
    <w:pPr>
      <w:tabs>
        <w:tab w:val="center" w:pos="4680" w:leader="none"/>
        <w:tab w:val="right" w:pos="9360" w:leader="none"/>
      </w:tabs>
    </w:pPr>
    <w:rPr/>
  </w:style>
  <w:style w:type="paragraph" w:styleId="BalloonText">
    <w:name w:val="Balloon Text"/>
    <w:basedOn w:val="Normal"/>
    <w:link w:val="BalloonTextChar"/>
    <w:semiHidden/>
    <w:unhideWhenUsed/>
    <w:qFormat/>
    <w:rsid w:val="008019a4"/>
    <w:pPr/>
    <w:rPr>
      <w:rFonts w:ascii="Arial" w:hAnsi="Arial" w:cs="Arial"/>
      <w:sz w:val="18"/>
      <w:szCs w:val="18"/>
    </w:rPr>
  </w:style>
  <w:style w:type="paragraph" w:styleId="Annotationtext">
    <w:name w:val="annotation text"/>
    <w:basedOn w:val="Normal"/>
    <w:link w:val="CommentTextChar"/>
    <w:semiHidden/>
    <w:unhideWhenUsed/>
    <w:qFormat/>
    <w:rsid w:val="00ab659c"/>
    <w:pPr/>
    <w:rPr>
      <w:szCs w:val="20"/>
    </w:rPr>
  </w:style>
  <w:style w:type="paragraph" w:styleId="Annotationsubject">
    <w:name w:val="annotation subject"/>
    <w:basedOn w:val="Annotationtext"/>
    <w:link w:val="CommentSubjectChar"/>
    <w:semiHidden/>
    <w:unhideWhenUsed/>
    <w:qFormat/>
    <w:rsid w:val="00ab659c"/>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media.education.gov.uk/assets/files/pdf/b/ben goldacre paper.pdf" TargetMode="External"/><Relationship Id="rId3" Type="http://schemas.openxmlformats.org/officeDocument/2006/relationships/hyperlink" Target="http://plato.stanford.edu/archives/sum2010/entries/paternalism/" TargetMode="External"/><Relationship Id="rId4" Type="http://schemas.openxmlformats.org/officeDocument/2006/relationships/hyperlink" Target="http://plato.stanford.edu/archives/spr2015/entries/autonomy-moral/" TargetMode="External"/><Relationship Id="rId5" Type="http://schemas.openxmlformats.org/officeDocument/2006/relationships/hyperlink" Target="" TargetMode="External"/><Relationship Id="rId6" Type="http://schemas.openxmlformats.org/officeDocument/2006/relationships/hyperlink" Target="http://www.nytimes.com/2010/07/15/opinion/15loewenstein.html?_r=0" TargetMode="Externa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Application>LibreOffice/5.1.4.2$Linux_X86_64 LibreOffice_project/10m0$Build-2</Application>
  <Pages>6</Pages>
  <Words>1849</Words>
  <Characters>10685</Characters>
  <CharactersWithSpaces>12385</CharactersWithSpaces>
  <Paragraphs>138</Paragraphs>
  <Company>Central European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2016-01-14T18:42:00Z</dcterms:created>
  <dc:creator>Christophe Heintz</dc:creator>
  <dc:description/>
  <dc:language>en-GB</dc:language>
  <cp:lastModifiedBy>Christophe Heintz</cp:lastModifiedBy>
  <cp:lastPrinted>2015-12-17T14:15:00Z</cp:lastPrinted>
  <dcterms:modified xsi:type="dcterms:W3CDTF">2016-09-09T17:15:05Z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Central European University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